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6F" w:rsidRPr="0065516F" w:rsidRDefault="0065516F" w:rsidP="00DF1977">
      <w:pPr>
        <w:pStyle w:val="Zhlav"/>
        <w:tabs>
          <w:tab w:val="clear" w:pos="4536"/>
          <w:tab w:val="clear" w:pos="9072"/>
        </w:tabs>
        <w:jc w:val="center"/>
        <w:rPr>
          <w:b/>
          <w:sz w:val="36"/>
          <w:szCs w:val="36"/>
        </w:rPr>
      </w:pPr>
      <w:bookmarkStart w:id="0" w:name="_Toc351532385"/>
      <w:r>
        <w:rPr>
          <w:b/>
          <w:sz w:val="36"/>
          <w:szCs w:val="36"/>
        </w:rPr>
        <w:t>T</w:t>
      </w:r>
      <w:r w:rsidR="00C0577F" w:rsidRPr="0065516F">
        <w:rPr>
          <w:b/>
          <w:sz w:val="36"/>
          <w:szCs w:val="36"/>
        </w:rPr>
        <w:t>ECHNICK</w:t>
      </w:r>
      <w:r w:rsidR="00DF1977">
        <w:rPr>
          <w:b/>
          <w:sz w:val="36"/>
          <w:szCs w:val="36"/>
        </w:rPr>
        <w:t>Á</w:t>
      </w:r>
      <w:r w:rsidR="0050405E" w:rsidRPr="0065516F">
        <w:rPr>
          <w:b/>
          <w:sz w:val="36"/>
          <w:szCs w:val="36"/>
        </w:rPr>
        <w:t xml:space="preserve"> SPECIFIKACE</w:t>
      </w:r>
      <w:bookmarkEnd w:id="0"/>
    </w:p>
    <w:p w:rsidR="0050405E" w:rsidRPr="00DF1977" w:rsidRDefault="0050405E" w:rsidP="00DF1977">
      <w:pPr>
        <w:pStyle w:val="Zhlav"/>
        <w:spacing w:after="240"/>
        <w:jc w:val="center"/>
        <w:rPr>
          <w:sz w:val="36"/>
          <w:szCs w:val="36"/>
        </w:rPr>
      </w:pPr>
      <w:r w:rsidRPr="00DF1977">
        <w:rPr>
          <w:sz w:val="24"/>
          <w:szCs w:val="24"/>
        </w:rPr>
        <w:t xml:space="preserve">dle zákona č. 40/2004, Sb. ve znění </w:t>
      </w:r>
      <w:proofErr w:type="spellStart"/>
      <w:r w:rsidRPr="00DF1977">
        <w:rPr>
          <w:sz w:val="24"/>
          <w:szCs w:val="24"/>
        </w:rPr>
        <w:t>Vyhl</w:t>
      </w:r>
      <w:proofErr w:type="spellEnd"/>
      <w:r w:rsidRPr="00DF1977">
        <w:rPr>
          <w:sz w:val="24"/>
          <w:szCs w:val="24"/>
        </w:rPr>
        <w:t>. č. 239/2004 Sb.</w:t>
      </w:r>
    </w:p>
    <w:p w:rsidR="0050405E" w:rsidRPr="00DF1977" w:rsidRDefault="00DF1977" w:rsidP="00DF1977">
      <w:pPr>
        <w:jc w:val="center"/>
        <w:rPr>
          <w:i/>
          <w:sz w:val="32"/>
          <w:szCs w:val="32"/>
        </w:rPr>
      </w:pPr>
      <w:r w:rsidRPr="00DF1977">
        <w:rPr>
          <w:i/>
          <w:sz w:val="32"/>
          <w:szCs w:val="32"/>
        </w:rPr>
        <w:t>Technický list</w:t>
      </w:r>
    </w:p>
    <w:p w:rsidR="0050405E" w:rsidRDefault="0050405E" w:rsidP="009F2B96">
      <w:pPr>
        <w:spacing w:before="240"/>
        <w:jc w:val="left"/>
        <w:rPr>
          <w:b/>
          <w:sz w:val="20"/>
        </w:rPr>
      </w:pPr>
      <w:r w:rsidRPr="00DF1977">
        <w:rPr>
          <w:b/>
          <w:sz w:val="20"/>
        </w:rPr>
        <w:t>Konkretizace typu a modifikace výrobku:</w:t>
      </w:r>
    </w:p>
    <w:p w:rsidR="00DF1977" w:rsidRPr="00DF1977" w:rsidRDefault="00DF1977" w:rsidP="00DF1977">
      <w:pPr>
        <w:jc w:val="left"/>
        <w:rPr>
          <w:b/>
          <w:i/>
          <w:sz w:val="18"/>
          <w:szCs w:val="18"/>
        </w:rPr>
      </w:pPr>
      <w:r w:rsidRPr="00DF1977">
        <w:rPr>
          <w:i/>
          <w:sz w:val="18"/>
          <w:szCs w:val="18"/>
        </w:rPr>
        <w:t>Voštinové bloky z polypropylenu se strukturou včelí plástve.</w:t>
      </w:r>
    </w:p>
    <w:p w:rsidR="0050405E" w:rsidRPr="00DF1977" w:rsidRDefault="00AA3484" w:rsidP="009F2B96">
      <w:pPr>
        <w:spacing w:before="120" w:after="60"/>
        <w:jc w:val="center"/>
        <w:rPr>
          <w:b/>
          <w:sz w:val="28"/>
          <w:szCs w:val="28"/>
        </w:rPr>
      </w:pPr>
      <w:r>
        <w:rPr>
          <w:b/>
          <w:sz w:val="28"/>
          <w:szCs w:val="28"/>
        </w:rPr>
        <w:t>AS-</w:t>
      </w:r>
      <w:r w:rsidR="00B56393" w:rsidRPr="00DF1977">
        <w:rPr>
          <w:b/>
          <w:sz w:val="28"/>
          <w:szCs w:val="28"/>
        </w:rPr>
        <w:t>N</w:t>
      </w:r>
      <w:r w:rsidR="00DF1977" w:rsidRPr="00DF1977">
        <w:rPr>
          <w:b/>
          <w:sz w:val="28"/>
          <w:szCs w:val="28"/>
        </w:rPr>
        <w:t>IDA</w:t>
      </w:r>
      <w:r w:rsidR="002931E5">
        <w:rPr>
          <w:b/>
          <w:sz w:val="28"/>
          <w:szCs w:val="28"/>
        </w:rPr>
        <w:t>FLOW</w:t>
      </w:r>
    </w:p>
    <w:p w:rsidR="00DF1977" w:rsidRDefault="00DF1977" w:rsidP="00DF1977">
      <w:pPr>
        <w:spacing w:before="120" w:after="60"/>
        <w:jc w:val="left"/>
        <w:rPr>
          <w:b/>
          <w:sz w:val="24"/>
          <w:szCs w:val="24"/>
        </w:rPr>
      </w:pPr>
      <w:bookmarkStart w:id="1" w:name="_Toc351532386"/>
      <w:r w:rsidRPr="00D27A0A">
        <w:rPr>
          <w:b/>
          <w:sz w:val="24"/>
          <w:szCs w:val="24"/>
        </w:rPr>
        <w:t>Technický standard</w:t>
      </w:r>
    </w:p>
    <w:p w:rsidR="00DF1977" w:rsidRPr="00DF1977" w:rsidRDefault="00DF1977" w:rsidP="00DF1977">
      <w:pPr>
        <w:jc w:val="left"/>
        <w:rPr>
          <w:b/>
          <w:sz w:val="20"/>
        </w:rPr>
      </w:pPr>
      <w:r w:rsidRPr="00DF1977">
        <w:rPr>
          <w:b/>
          <w:sz w:val="20"/>
        </w:rPr>
        <w:t>Voštinové bloky z polypropylenu se strukturou včelí plástve</w:t>
      </w:r>
      <w:r w:rsidR="002931E5">
        <w:rPr>
          <w:b/>
          <w:sz w:val="20"/>
        </w:rPr>
        <w:t xml:space="preserve"> a průtočnými horizontálními drážkami</w:t>
      </w:r>
      <w:r w:rsidRPr="00DF1977">
        <w:rPr>
          <w:b/>
          <w:sz w:val="20"/>
        </w:rPr>
        <w:t>.</w:t>
      </w:r>
    </w:p>
    <w:p w:rsidR="00C0577F" w:rsidRPr="00DF1977" w:rsidRDefault="0050405E" w:rsidP="00DF1977">
      <w:pPr>
        <w:spacing w:before="120"/>
        <w:rPr>
          <w:b/>
          <w:sz w:val="20"/>
        </w:rPr>
      </w:pPr>
      <w:r w:rsidRPr="00DF1977">
        <w:rPr>
          <w:b/>
          <w:sz w:val="20"/>
        </w:rPr>
        <w:t>Popis</w:t>
      </w:r>
      <w:bookmarkEnd w:id="1"/>
      <w:r w:rsidR="00DF1977" w:rsidRPr="00DF1977">
        <w:rPr>
          <w:b/>
          <w:sz w:val="20"/>
        </w:rPr>
        <w:t>:</w:t>
      </w:r>
    </w:p>
    <w:p w:rsidR="00DF1977" w:rsidRDefault="00B56393" w:rsidP="00DF1977">
      <w:r>
        <w:rPr>
          <w:rFonts w:cs="Arial"/>
        </w:rPr>
        <w:t xml:space="preserve">Voštinové bloky  </w:t>
      </w:r>
      <w:r>
        <w:t>AS-NIDA</w:t>
      </w:r>
      <w:r w:rsidR="002931E5">
        <w:t>FLOW</w:t>
      </w:r>
      <w:r>
        <w:t xml:space="preserve"> jsou určeny k vytvoření podzemního prostoru, který slouží k retenci dešťových vod. Samotný objekt může sloužit jako vsakovací objekt, při použití nepropustné folie </w:t>
      </w:r>
      <w:r w:rsidR="00200C17">
        <w:t>k retenci vody a jejímu postupnému vypouštění n</w:t>
      </w:r>
      <w:r w:rsidR="00DF1977">
        <w:t>ebo lze tyto funkce kombinovat.</w:t>
      </w:r>
    </w:p>
    <w:p w:rsidR="00DF1977" w:rsidRPr="00DF1977" w:rsidRDefault="00DF1977" w:rsidP="00DF1977">
      <w:pPr>
        <w:spacing w:before="120"/>
        <w:rPr>
          <w:b/>
          <w:sz w:val="20"/>
        </w:rPr>
      </w:pPr>
      <w:r w:rsidRPr="00DF1977">
        <w:rPr>
          <w:b/>
          <w:sz w:val="20"/>
        </w:rPr>
        <w:t>Princip funkce:</w:t>
      </w:r>
    </w:p>
    <w:p w:rsidR="00200C17" w:rsidRPr="00DF1977" w:rsidRDefault="00200C17" w:rsidP="00DF1977">
      <w:pPr>
        <w:rPr>
          <w:rFonts w:cs="Arial"/>
        </w:rPr>
      </w:pPr>
      <w:r>
        <w:t>Bloky AS-NIDA</w:t>
      </w:r>
      <w:r w:rsidR="002931E5">
        <w:t>FLOW</w:t>
      </w:r>
      <w:r>
        <w:t xml:space="preserve"> jsou určeny pro vytvoření podzemního vsakovacího (retenčního) prostoru a k optimalizaci řízení odtoku srážkových vod. Svoji lehkou konstrukcí umožňují jednoduchou a rychlou ruční manipulaci při instalaci vsakovacího objektu. </w:t>
      </w:r>
    </w:p>
    <w:p w:rsidR="00200C17" w:rsidRDefault="00200C17" w:rsidP="00A33A39">
      <w:pPr>
        <w:spacing w:before="120"/>
      </w:pPr>
      <w:r>
        <w:t xml:space="preserve">Vsakovací objekt umožňuje rozvádět akumulovanou dešťovou vodu ve vertikálním </w:t>
      </w:r>
      <w:r w:rsidR="002931E5">
        <w:t xml:space="preserve">i horizontálním </w:t>
      </w:r>
      <w:r>
        <w:t xml:space="preserve">směru. Rychlý rozptyl dešťové vody v celém retenčním prostoru je zajištěn </w:t>
      </w:r>
      <w:r w:rsidR="002931E5">
        <w:t>průtočnými drážkami na povrchu vsakovacího bloku</w:t>
      </w:r>
      <w:r>
        <w:t>.</w:t>
      </w:r>
    </w:p>
    <w:p w:rsidR="00DF1977" w:rsidRPr="00DF1977" w:rsidRDefault="00C0577F" w:rsidP="00DF1977">
      <w:pPr>
        <w:spacing w:before="120"/>
        <w:rPr>
          <w:b/>
          <w:sz w:val="20"/>
        </w:rPr>
      </w:pPr>
      <w:bookmarkStart w:id="2" w:name="_Toc351532389"/>
      <w:r w:rsidRPr="00DF1977">
        <w:rPr>
          <w:b/>
          <w:sz w:val="20"/>
        </w:rPr>
        <w:t>Konstrukční řešení</w:t>
      </w:r>
      <w:bookmarkEnd w:id="2"/>
      <w:r w:rsidR="00DF1977" w:rsidRPr="00DF1977">
        <w:rPr>
          <w:b/>
          <w:sz w:val="20"/>
        </w:rPr>
        <w:t>:</w:t>
      </w:r>
    </w:p>
    <w:p w:rsidR="002931E5" w:rsidRDefault="00680D5C" w:rsidP="00DF1977">
      <w:r>
        <w:t>Spodní přítok je základní způsob přivedení srážkové vody do vsakovacího objektu sestaveného z bloků AS</w:t>
      </w:r>
      <w:r>
        <w:noBreakHyphen/>
        <w:t>NIDA</w:t>
      </w:r>
      <w:r w:rsidR="002931E5">
        <w:t>FLOW</w:t>
      </w:r>
      <w:r>
        <w:t>. Jedná se o základní způsob infiltrace vsakovacího objektu seskládaného z bloků AS</w:t>
      </w:r>
      <w:r>
        <w:noBreakHyphen/>
        <w:t>NIDA</w:t>
      </w:r>
      <w:r w:rsidR="002931E5">
        <w:t>FLOW</w:t>
      </w:r>
      <w:r>
        <w:t>. Jeho výhodou je zamezení zanášení vsakovacího objektu. Veškeré nánosy se ukládají na dně drenážního potrubí, které je uloženo ve vrstvě štěrku, což zamezuje dalšímu šíření do vsakovacího objektu. Při průtoku srážkové vody drenážním potrubím jsou případné nánosy automaticky odplavovány – samočistící efekt.</w:t>
      </w:r>
      <w:r w:rsidR="001F403B">
        <w:t xml:space="preserve"> Pro bloky AS-NIDAFLOW je přípustný také horní přítok.</w:t>
      </w:r>
    </w:p>
    <w:p w:rsidR="001F403B" w:rsidRDefault="001F403B" w:rsidP="00DF1977">
      <w:r>
        <w:t>Bloky jsou dodávány ve dvou základních verzích:</w:t>
      </w:r>
    </w:p>
    <w:p w:rsidR="001F403B" w:rsidRDefault="001F403B" w:rsidP="00DF1977">
      <w:r>
        <w:tab/>
        <w:t>AS-NIDAFLOW MB: bloky určené pro základní vrstvu retenčního prostoru,</w:t>
      </w:r>
    </w:p>
    <w:p w:rsidR="001F403B" w:rsidRDefault="001F403B" w:rsidP="00DF1977">
      <w:r>
        <w:tab/>
        <w:t>AS.NIDAFLOW MH: bloky určené pro další řady retenčního prostoru.</w:t>
      </w:r>
    </w:p>
    <w:p w:rsidR="00DF1977" w:rsidRPr="00DF1977" w:rsidRDefault="00C9653C" w:rsidP="00DF1977">
      <w:pPr>
        <w:spacing w:before="120"/>
        <w:rPr>
          <w:b/>
          <w:sz w:val="20"/>
        </w:rPr>
      </w:pPr>
      <w:bookmarkStart w:id="3" w:name="_Ref83472072"/>
      <w:bookmarkStart w:id="4" w:name="_Toc351532394"/>
      <w:r w:rsidRPr="00DF1977">
        <w:rPr>
          <w:b/>
          <w:sz w:val="20"/>
        </w:rPr>
        <w:t xml:space="preserve">Statické dimenzování </w:t>
      </w:r>
      <w:bookmarkEnd w:id="3"/>
      <w:r w:rsidRPr="00DF1977">
        <w:rPr>
          <w:b/>
          <w:sz w:val="20"/>
        </w:rPr>
        <w:t>objektu</w:t>
      </w:r>
      <w:bookmarkEnd w:id="4"/>
      <w:r w:rsidR="00DF1977" w:rsidRPr="00DF1977">
        <w:rPr>
          <w:b/>
          <w:sz w:val="20"/>
        </w:rPr>
        <w:t>:</w:t>
      </w:r>
    </w:p>
    <w:p w:rsidR="00E236BB" w:rsidRPr="00DF1977" w:rsidRDefault="00200C17" w:rsidP="00DF1977">
      <w:r>
        <w:t>Díky struktuře připomínající včelí plástve je statická odolnost (pevnost) bloků AS</w:t>
      </w:r>
      <w:r>
        <w:noBreakHyphen/>
        <w:t>NIDA</w:t>
      </w:r>
      <w:r w:rsidR="001F403B">
        <w:t>FLOW</w:t>
      </w:r>
      <w:r>
        <w:t>, ve vertikálním směru, velmi vysoká. Vsakovací bloky AS-NIDA</w:t>
      </w:r>
      <w:r w:rsidR="001F403B">
        <w:t>FLOW</w:t>
      </w:r>
      <w:r>
        <w:t xml:space="preserve"> lze dodat v několika verzích (nejčastěji EP400 a EP600), které se od sebe odlišujících svými mechanickými vlastnostmi.</w:t>
      </w:r>
    </w:p>
    <w:p w:rsidR="00C9653C" w:rsidRPr="00DF1977" w:rsidRDefault="00C9653C" w:rsidP="007C797C">
      <w:pPr>
        <w:spacing w:before="240"/>
        <w:rPr>
          <w:b/>
          <w:sz w:val="24"/>
          <w:szCs w:val="24"/>
        </w:rPr>
      </w:pPr>
      <w:r w:rsidRPr="00DF1977">
        <w:rPr>
          <w:b/>
          <w:sz w:val="24"/>
          <w:szCs w:val="24"/>
        </w:rPr>
        <w:t>Uživatelský standard</w:t>
      </w:r>
    </w:p>
    <w:p w:rsidR="00DF1977" w:rsidRPr="00DF1977" w:rsidRDefault="00680D5C" w:rsidP="00DF1977">
      <w:pPr>
        <w:spacing w:before="120"/>
        <w:rPr>
          <w:b/>
          <w:sz w:val="20"/>
        </w:rPr>
      </w:pPr>
      <w:bookmarkStart w:id="5" w:name="_Toc84746797"/>
      <w:bookmarkStart w:id="6" w:name="_Toc351532393"/>
      <w:bookmarkEnd w:id="5"/>
      <w:r w:rsidRPr="00DF1977">
        <w:rPr>
          <w:b/>
          <w:sz w:val="20"/>
        </w:rPr>
        <w:t>Sestavení objektu:</w:t>
      </w:r>
      <w:bookmarkEnd w:id="6"/>
    </w:p>
    <w:p w:rsidR="000C34B8" w:rsidRPr="00DF1977" w:rsidRDefault="00B26EE5" w:rsidP="00DF1977">
      <w:r w:rsidRPr="00200C17">
        <w:t>Objekt</w:t>
      </w:r>
      <w:r>
        <w:t xml:space="preserve"> sestavený z bloků AS-NIDA</w:t>
      </w:r>
      <w:r w:rsidR="001F403B">
        <w:t xml:space="preserve">FLOW </w:t>
      </w:r>
      <w:r>
        <w:t>se skládá z několika částí, které společně umožňují spolehlivý provoz celého zařízení. Akumulační schopnost bloků je minimálně 95</w:t>
      </w:r>
      <w:r>
        <w:rPr>
          <w:lang w:val="en-US"/>
        </w:rPr>
        <w:t>%</w:t>
      </w:r>
      <w:r>
        <w:t>. K rozvodu vody se používá drenážní potrubí, které je uloženo ve vrstvě štěrku</w:t>
      </w:r>
      <w:r w:rsidR="009F2B96">
        <w:t xml:space="preserve"> pod / nad / nebo uvnitř retenčního objektu</w:t>
      </w:r>
      <w:r>
        <w:t xml:space="preserve">. K bezproblémovému plnění a prázdnění bloků slouží odvzdušňovací potrubí nad bloky. Drenážní potrubí je zaústěno do revizních šachet. Přes </w:t>
      </w:r>
      <w:r w:rsidR="00DF1977">
        <w:t>tyto nátokové</w:t>
      </w:r>
      <w:r>
        <w:t xml:space="preserve"> </w:t>
      </w:r>
      <w:r w:rsidR="00DF1977">
        <w:t>a</w:t>
      </w:r>
      <w:r>
        <w:t xml:space="preserve"> odtokové šachty a drenážním potrubím lze do objektu přistupovat pomocí kamery a čistící trysky.</w:t>
      </w:r>
      <w:bookmarkStart w:id="7" w:name="_Toc84736249"/>
      <w:bookmarkStart w:id="8" w:name="_Toc84736614"/>
      <w:bookmarkStart w:id="9" w:name="_Toc84736675"/>
      <w:bookmarkStart w:id="10" w:name="_Toc84736723"/>
      <w:bookmarkStart w:id="11" w:name="_Toc84746790"/>
      <w:bookmarkStart w:id="12" w:name="_Toc84736250"/>
      <w:bookmarkStart w:id="13" w:name="_Toc84736615"/>
      <w:bookmarkStart w:id="14" w:name="_Toc84736676"/>
      <w:bookmarkStart w:id="15" w:name="_Toc84736724"/>
      <w:bookmarkStart w:id="16" w:name="_Toc84746791"/>
      <w:bookmarkEnd w:id="7"/>
      <w:bookmarkEnd w:id="8"/>
      <w:bookmarkEnd w:id="9"/>
      <w:bookmarkEnd w:id="10"/>
      <w:bookmarkEnd w:id="11"/>
      <w:bookmarkEnd w:id="12"/>
      <w:bookmarkEnd w:id="13"/>
      <w:bookmarkEnd w:id="14"/>
      <w:bookmarkEnd w:id="15"/>
      <w:bookmarkEnd w:id="16"/>
      <w:r w:rsidRPr="00B26EE5">
        <w:t xml:space="preserve"> </w:t>
      </w:r>
      <w:r>
        <w:t>Do odtokové lze osadit regulační za</w:t>
      </w:r>
      <w:r w:rsidR="00B45492">
        <w:t>řízení pro regulaci o</w:t>
      </w:r>
      <w:r>
        <w:t xml:space="preserve">dtoku do kanalizace </w:t>
      </w:r>
      <w:r w:rsidR="00B45492">
        <w:t>(</w:t>
      </w:r>
      <w:r>
        <w:t>pomocí škrtícího kapacitního otvoru</w:t>
      </w:r>
      <w:r w:rsidR="00B45492">
        <w:t xml:space="preserve"> nebo vírovým ventilem).</w:t>
      </w:r>
    </w:p>
    <w:p w:rsidR="00E91F81" w:rsidRDefault="00A33A39" w:rsidP="007C797C">
      <w:pPr>
        <w:pStyle w:val="Nadpis2"/>
        <w:spacing w:before="0"/>
        <w:rPr>
          <w:sz w:val="28"/>
          <w:szCs w:val="28"/>
        </w:rPr>
      </w:pPr>
      <w:r>
        <w:br w:type="page"/>
      </w:r>
      <w:r w:rsidR="00E91F81" w:rsidRPr="00E91F81">
        <w:rPr>
          <w:sz w:val="20"/>
          <w:szCs w:val="20"/>
        </w:rPr>
        <w:lastRenderedPageBreak/>
        <w:t>Technické údaje:</w:t>
      </w:r>
      <w:r w:rsidR="00E91F81">
        <w:tab/>
      </w:r>
      <w:r w:rsidR="00E91F81">
        <w:tab/>
      </w:r>
      <w:r w:rsidR="00E91F81" w:rsidRPr="007C797C">
        <w:rPr>
          <w:sz w:val="28"/>
          <w:szCs w:val="28"/>
        </w:rPr>
        <w:t>AS-NIDA</w:t>
      </w:r>
      <w:r w:rsidR="004A5AFF">
        <w:rPr>
          <w:sz w:val="28"/>
          <w:szCs w:val="28"/>
        </w:rPr>
        <w:t>FLOW</w:t>
      </w:r>
    </w:p>
    <w:p w:rsidR="007C797C" w:rsidRPr="007C797C" w:rsidRDefault="007C797C" w:rsidP="007C797C"/>
    <w:tbl>
      <w:tblPr>
        <w:tblW w:w="5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18"/>
        <w:gridCol w:w="1417"/>
        <w:gridCol w:w="1560"/>
      </w:tblGrid>
      <w:tr w:rsidR="00E91F81" w:rsidTr="00BE545D">
        <w:trPr>
          <w:trHeight w:val="340"/>
        </w:trPr>
        <w:tc>
          <w:tcPr>
            <w:tcW w:w="567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91F81" w:rsidRPr="00B425DA" w:rsidRDefault="00E91F81" w:rsidP="00BE545D">
            <w:pPr>
              <w:jc w:val="center"/>
              <w:rPr>
                <w:b/>
                <w:i/>
              </w:rPr>
            </w:pPr>
            <w:r w:rsidRPr="00B425DA">
              <w:rPr>
                <w:b/>
                <w:i/>
              </w:rPr>
              <w:t>Hlavní parametry</w:t>
            </w:r>
          </w:p>
        </w:tc>
      </w:tr>
      <w:tr w:rsidR="00E91F81" w:rsidTr="00BE545D">
        <w:trPr>
          <w:trHeight w:val="312"/>
        </w:trPr>
        <w:tc>
          <w:tcPr>
            <w:tcW w:w="1275" w:type="dxa"/>
            <w:tcBorders>
              <w:top w:val="single" w:sz="12" w:space="0" w:color="auto"/>
              <w:left w:val="single" w:sz="12" w:space="0" w:color="auto"/>
              <w:right w:val="dotted" w:sz="4" w:space="0" w:color="auto"/>
            </w:tcBorders>
            <w:shd w:val="clear" w:color="auto" w:fill="auto"/>
            <w:vAlign w:val="center"/>
          </w:tcPr>
          <w:p w:rsidR="00E91F81" w:rsidRPr="007776B9" w:rsidRDefault="00E91F81" w:rsidP="00BE545D">
            <w:pPr>
              <w:jc w:val="center"/>
            </w:pPr>
            <w:r w:rsidRPr="007776B9">
              <w:t>Délka</w:t>
            </w:r>
          </w:p>
        </w:tc>
        <w:tc>
          <w:tcPr>
            <w:tcW w:w="1418" w:type="dxa"/>
            <w:tcBorders>
              <w:top w:val="single" w:sz="12" w:space="0" w:color="auto"/>
              <w:left w:val="dotted" w:sz="4" w:space="0" w:color="auto"/>
              <w:right w:val="single" w:sz="12" w:space="0" w:color="auto"/>
            </w:tcBorders>
            <w:shd w:val="clear" w:color="auto" w:fill="auto"/>
            <w:vAlign w:val="center"/>
          </w:tcPr>
          <w:p w:rsidR="00E91F81" w:rsidRPr="00D14C3B" w:rsidRDefault="00E91F81" w:rsidP="00BE545D">
            <w:pPr>
              <w:jc w:val="center"/>
            </w:pPr>
            <w:r>
              <w:t>2400 mm</w:t>
            </w:r>
          </w:p>
        </w:tc>
        <w:tc>
          <w:tcPr>
            <w:tcW w:w="1417" w:type="dxa"/>
            <w:tcBorders>
              <w:top w:val="single" w:sz="12" w:space="0" w:color="auto"/>
              <w:left w:val="single" w:sz="12" w:space="0" w:color="auto"/>
              <w:right w:val="dotted" w:sz="4" w:space="0" w:color="auto"/>
            </w:tcBorders>
            <w:shd w:val="clear" w:color="auto" w:fill="auto"/>
            <w:vAlign w:val="center"/>
          </w:tcPr>
          <w:p w:rsidR="00E91F81" w:rsidRPr="00AB0EB5" w:rsidRDefault="00E91F81" w:rsidP="00BE545D">
            <w:pPr>
              <w:jc w:val="center"/>
            </w:pPr>
            <w:r w:rsidRPr="00AB0EB5">
              <w:t>Výška</w:t>
            </w:r>
          </w:p>
        </w:tc>
        <w:tc>
          <w:tcPr>
            <w:tcW w:w="1560" w:type="dxa"/>
            <w:tcBorders>
              <w:top w:val="single" w:sz="12" w:space="0" w:color="auto"/>
              <w:left w:val="dotted" w:sz="4" w:space="0" w:color="auto"/>
              <w:right w:val="single" w:sz="12" w:space="0" w:color="auto"/>
            </w:tcBorders>
            <w:shd w:val="clear" w:color="auto" w:fill="auto"/>
            <w:vAlign w:val="center"/>
          </w:tcPr>
          <w:p w:rsidR="00E91F81" w:rsidRDefault="00E91F81" w:rsidP="00BE545D">
            <w:pPr>
              <w:jc w:val="center"/>
            </w:pPr>
            <w:r>
              <w:t>520 mm</w:t>
            </w:r>
          </w:p>
        </w:tc>
      </w:tr>
      <w:tr w:rsidR="00E91F81" w:rsidTr="00BE545D">
        <w:trPr>
          <w:trHeight w:val="312"/>
        </w:trPr>
        <w:tc>
          <w:tcPr>
            <w:tcW w:w="1275" w:type="dxa"/>
            <w:tcBorders>
              <w:left w:val="single" w:sz="12" w:space="0" w:color="auto"/>
              <w:right w:val="dotted" w:sz="4" w:space="0" w:color="auto"/>
            </w:tcBorders>
            <w:shd w:val="clear" w:color="auto" w:fill="auto"/>
            <w:vAlign w:val="center"/>
          </w:tcPr>
          <w:p w:rsidR="00E91F81" w:rsidRDefault="00E91F81" w:rsidP="00BE545D">
            <w:pPr>
              <w:jc w:val="center"/>
            </w:pPr>
            <w:r w:rsidRPr="007776B9">
              <w:t>Šířka</w:t>
            </w:r>
          </w:p>
        </w:tc>
        <w:tc>
          <w:tcPr>
            <w:tcW w:w="1418" w:type="dxa"/>
            <w:tcBorders>
              <w:left w:val="dotted" w:sz="4" w:space="0" w:color="auto"/>
              <w:right w:val="single" w:sz="12" w:space="0" w:color="auto"/>
            </w:tcBorders>
            <w:shd w:val="clear" w:color="auto" w:fill="auto"/>
            <w:vAlign w:val="center"/>
          </w:tcPr>
          <w:p w:rsidR="00E91F81" w:rsidRDefault="00E91F81" w:rsidP="00BE545D">
            <w:pPr>
              <w:jc w:val="center"/>
            </w:pPr>
            <w:r>
              <w:t>1200 mm</w:t>
            </w:r>
          </w:p>
        </w:tc>
        <w:tc>
          <w:tcPr>
            <w:tcW w:w="1417" w:type="dxa"/>
            <w:tcBorders>
              <w:left w:val="single" w:sz="12" w:space="0" w:color="auto"/>
              <w:bottom w:val="single" w:sz="12" w:space="0" w:color="auto"/>
              <w:right w:val="dotted" w:sz="4" w:space="0" w:color="auto"/>
            </w:tcBorders>
            <w:shd w:val="clear" w:color="auto" w:fill="auto"/>
            <w:vAlign w:val="center"/>
          </w:tcPr>
          <w:p w:rsidR="00E91F81" w:rsidRPr="00AB0EB5" w:rsidRDefault="00E91F81" w:rsidP="00BE545D">
            <w:pPr>
              <w:jc w:val="center"/>
            </w:pPr>
            <w:r>
              <w:t>Buňka</w:t>
            </w:r>
          </w:p>
        </w:tc>
        <w:tc>
          <w:tcPr>
            <w:tcW w:w="1560" w:type="dxa"/>
            <w:tcBorders>
              <w:left w:val="dotted" w:sz="4" w:space="0" w:color="auto"/>
              <w:bottom w:val="single" w:sz="12" w:space="0" w:color="auto"/>
              <w:right w:val="single" w:sz="12" w:space="0" w:color="auto"/>
            </w:tcBorders>
            <w:shd w:val="clear" w:color="auto" w:fill="auto"/>
            <w:vAlign w:val="center"/>
          </w:tcPr>
          <w:p w:rsidR="00E91F81" w:rsidRDefault="00E91F81" w:rsidP="00BE545D">
            <w:pPr>
              <w:jc w:val="center"/>
            </w:pPr>
            <w:r>
              <w:t>50 mm</w:t>
            </w:r>
          </w:p>
        </w:tc>
      </w:tr>
      <w:tr w:rsidR="00E91F81" w:rsidTr="00BE545D">
        <w:trPr>
          <w:gridAfter w:val="2"/>
          <w:wAfter w:w="2977" w:type="dxa"/>
        </w:trPr>
        <w:tc>
          <w:tcPr>
            <w:tcW w:w="1275" w:type="dxa"/>
            <w:tcBorders>
              <w:left w:val="single" w:sz="12" w:space="0" w:color="auto"/>
              <w:bottom w:val="single" w:sz="12" w:space="0" w:color="auto"/>
              <w:right w:val="dotted" w:sz="4" w:space="0" w:color="auto"/>
            </w:tcBorders>
            <w:shd w:val="clear" w:color="auto" w:fill="auto"/>
          </w:tcPr>
          <w:p w:rsidR="00E91F81" w:rsidRDefault="00E91F81" w:rsidP="00BE545D">
            <w:pPr>
              <w:jc w:val="center"/>
            </w:pPr>
            <w:r>
              <w:t>Barva</w:t>
            </w:r>
          </w:p>
        </w:tc>
        <w:tc>
          <w:tcPr>
            <w:tcW w:w="1418" w:type="dxa"/>
            <w:tcBorders>
              <w:left w:val="dotted" w:sz="4" w:space="0" w:color="auto"/>
              <w:bottom w:val="single" w:sz="12" w:space="0" w:color="auto"/>
              <w:right w:val="single" w:sz="12" w:space="0" w:color="auto"/>
            </w:tcBorders>
            <w:shd w:val="clear" w:color="auto" w:fill="auto"/>
          </w:tcPr>
          <w:p w:rsidR="00E91F81" w:rsidRDefault="00E91F81" w:rsidP="00BE545D">
            <w:pPr>
              <w:jc w:val="center"/>
            </w:pPr>
            <w:r>
              <w:t>černá</w:t>
            </w:r>
          </w:p>
        </w:tc>
      </w:tr>
    </w:tbl>
    <w:p w:rsidR="00E91F81" w:rsidRDefault="00E91F81" w:rsidP="00E91F81">
      <w:pPr>
        <w:rPr>
          <w:noProof/>
        </w:rPr>
      </w:pPr>
    </w:p>
    <w:p w:rsidR="009F2B96" w:rsidRDefault="00AA3484" w:rsidP="00E91F8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67.55pt;margin-top:30.2pt;width:127.25pt;height:54.4pt;z-index:251662336;mso-position-horizontal-relative:text;mso-position-vertical-relative:text">
            <v:imagedata r:id="rId9" o:title="a"/>
          </v:shape>
        </w:pict>
      </w:r>
      <w:r>
        <w:rPr>
          <w:noProof/>
        </w:rPr>
        <w:pict>
          <v:shape id="Obrázek 288" o:spid="_x0000_s1031" type="#_x0000_t75" style="position:absolute;left:0;text-align:left;margin-left:13.9pt;margin-top:9.3pt;width:327.9pt;height:217.9pt;z-index:251659264;visibility:visible;mso-wrap-style:square;mso-wrap-distance-left:9pt;mso-wrap-distance-top:14.2pt;mso-wrap-distance-right:9pt;mso-wrap-distance-bottom:14.2pt;mso-position-horizontal-relative:text;mso-position-vertical-relative:text">
            <v:imagedata r:id="rId10" o:title=""/>
            <w10:wrap type="square" side="left"/>
          </v:shape>
        </w:pict>
      </w:r>
      <w:r>
        <w:rPr>
          <w:noProof/>
        </w:rPr>
        <w:pict>
          <v:shape id="obrázek 22" o:spid="_x0000_s1030" type="#_x0000_t75" alt="OKO" style="position:absolute;left:0;text-align:left;margin-left:443.55pt;margin-top:564.45pt;width:86.25pt;height:37.1pt;z-index:251660288;visibility:visible;mso-wrap-style:square;mso-wrap-distance-left:9pt;mso-wrap-distance-top:0;mso-wrap-distance-right:9pt;mso-wrap-distance-bottom:0;mso-position-horizontal:absolute;mso-position-horizontal-relative:text;mso-position-vertical:absolute;mso-position-vertical-relative:text">
            <v:imagedata r:id="rId11" o:title="OKO"/>
          </v:shape>
        </w:pic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851"/>
        <w:gridCol w:w="2835"/>
      </w:tblGrid>
      <w:tr w:rsidR="004A5AFF" w:rsidTr="004A5AFF">
        <w:tc>
          <w:tcPr>
            <w:tcW w:w="9039" w:type="dxa"/>
            <w:gridSpan w:val="4"/>
            <w:shd w:val="clear" w:color="auto" w:fill="auto"/>
            <w:vAlign w:val="center"/>
          </w:tcPr>
          <w:p w:rsidR="004A5AFF" w:rsidRPr="00B425DA" w:rsidRDefault="004A5AFF" w:rsidP="004A5AFF">
            <w:pPr>
              <w:spacing w:line="216" w:lineRule="auto"/>
              <w:jc w:val="center"/>
              <w:rPr>
                <w:rFonts w:ascii="Calibri" w:hAnsi="Calibri"/>
                <w:b/>
                <w:sz w:val="28"/>
                <w:szCs w:val="28"/>
              </w:rPr>
            </w:pPr>
            <w:r w:rsidRPr="00B425DA">
              <w:rPr>
                <w:rFonts w:ascii="Calibri" w:hAnsi="Calibri"/>
                <w:b/>
                <w:sz w:val="28"/>
                <w:szCs w:val="28"/>
              </w:rPr>
              <w:t>MECHANICKÉ VLASTNOSTI – AS-NIDAFLOW</w:t>
            </w:r>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Typ bloku</w:t>
            </w:r>
          </w:p>
        </w:tc>
        <w:tc>
          <w:tcPr>
            <w:tcW w:w="2835" w:type="dxa"/>
            <w:gridSpan w:val="2"/>
            <w:shd w:val="clear" w:color="auto" w:fill="auto"/>
          </w:tcPr>
          <w:p w:rsidR="004A5AFF" w:rsidRPr="00B425DA" w:rsidRDefault="004A5AFF" w:rsidP="000F374B">
            <w:pPr>
              <w:spacing w:line="216" w:lineRule="auto"/>
              <w:jc w:val="center"/>
              <w:rPr>
                <w:rFonts w:ascii="Calibri" w:hAnsi="Calibri"/>
                <w:b/>
              </w:rPr>
            </w:pPr>
            <w:r w:rsidRPr="00B425DA">
              <w:rPr>
                <w:rFonts w:ascii="Calibri" w:hAnsi="Calibri"/>
                <w:b/>
              </w:rPr>
              <w:t>EP 400</w:t>
            </w:r>
          </w:p>
        </w:tc>
        <w:tc>
          <w:tcPr>
            <w:tcW w:w="2835" w:type="dxa"/>
            <w:shd w:val="clear" w:color="auto" w:fill="auto"/>
          </w:tcPr>
          <w:p w:rsidR="004A5AFF" w:rsidRPr="00B425DA" w:rsidRDefault="004A5AFF" w:rsidP="000F374B">
            <w:pPr>
              <w:spacing w:line="216" w:lineRule="auto"/>
              <w:jc w:val="center"/>
              <w:rPr>
                <w:rFonts w:ascii="Calibri" w:hAnsi="Calibri"/>
                <w:b/>
              </w:rPr>
            </w:pPr>
            <w:r w:rsidRPr="00B425DA">
              <w:rPr>
                <w:rFonts w:ascii="Calibri" w:hAnsi="Calibri"/>
                <w:b/>
              </w:rPr>
              <w:t>EP 600</w:t>
            </w:r>
          </w:p>
        </w:tc>
      </w:tr>
      <w:tr w:rsidR="004A5AFF" w:rsidTr="004A5AFF">
        <w:trPr>
          <w:trHeight w:val="773"/>
        </w:trPr>
        <w:tc>
          <w:tcPr>
            <w:tcW w:w="3369" w:type="dxa"/>
            <w:shd w:val="clear" w:color="auto" w:fill="auto"/>
            <w:vAlign w:val="center"/>
          </w:tcPr>
          <w:p w:rsidR="004A5AFF" w:rsidRPr="00B425DA" w:rsidRDefault="004A5AFF" w:rsidP="000F374B">
            <w:pPr>
              <w:spacing w:line="216" w:lineRule="auto"/>
              <w:jc w:val="left"/>
              <w:rPr>
                <w:rFonts w:ascii="Calibri" w:hAnsi="Calibri"/>
                <w:b/>
              </w:rPr>
            </w:pPr>
            <w:r w:rsidRPr="00B425DA">
              <w:rPr>
                <w:rFonts w:ascii="Calibri" w:hAnsi="Calibri"/>
                <w:b/>
              </w:rPr>
              <w:t>Aplikace (instalace)</w:t>
            </w:r>
          </w:p>
        </w:tc>
        <w:tc>
          <w:tcPr>
            <w:tcW w:w="2835" w:type="dxa"/>
            <w:gridSpan w:val="2"/>
            <w:shd w:val="clear" w:color="auto" w:fill="auto"/>
            <w:vAlign w:val="center"/>
          </w:tcPr>
          <w:p w:rsidR="004A5AFF" w:rsidRPr="00B425DA" w:rsidRDefault="004A5AFF" w:rsidP="004A5AFF">
            <w:pPr>
              <w:spacing w:line="216" w:lineRule="auto"/>
              <w:jc w:val="center"/>
              <w:rPr>
                <w:rFonts w:ascii="Calibri" w:hAnsi="Calibri"/>
                <w:sz w:val="20"/>
              </w:rPr>
            </w:pPr>
            <w:r>
              <w:rPr>
                <w:rFonts w:ascii="Calibri" w:hAnsi="Calibri"/>
                <w:sz w:val="20"/>
              </w:rPr>
              <w:t>Zelená plocha, chodníky, standardní komunikace, parkoviště osobních vozidel</w:t>
            </w:r>
          </w:p>
        </w:tc>
        <w:tc>
          <w:tcPr>
            <w:tcW w:w="2835" w:type="dxa"/>
            <w:shd w:val="clear" w:color="auto" w:fill="auto"/>
          </w:tcPr>
          <w:p w:rsidR="004A5AFF" w:rsidRPr="00B425DA" w:rsidRDefault="004A5AFF" w:rsidP="000F374B">
            <w:pPr>
              <w:spacing w:line="216" w:lineRule="auto"/>
              <w:jc w:val="center"/>
              <w:rPr>
                <w:rFonts w:ascii="Calibri" w:hAnsi="Calibri"/>
                <w:sz w:val="20"/>
              </w:rPr>
            </w:pPr>
            <w:r>
              <w:rPr>
                <w:rFonts w:ascii="Calibri" w:hAnsi="Calibri"/>
                <w:sz w:val="20"/>
              </w:rPr>
              <w:t>Silně zatížená komunikace, parkoviště nákladních vozidel, logistická centra, hluboké uložení</w:t>
            </w:r>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 xml:space="preserve">Pevnost v tlaku </w:t>
            </w:r>
            <w:r w:rsidRPr="00B425DA">
              <w:rPr>
                <w:rFonts w:ascii="Calibri" w:hAnsi="Calibri"/>
                <w:b/>
                <w:sz w:val="20"/>
              </w:rPr>
              <w:t>(dle ISO 844)</w:t>
            </w:r>
          </w:p>
        </w:tc>
        <w:tc>
          <w:tcPr>
            <w:tcW w:w="2835" w:type="dxa"/>
            <w:gridSpan w:val="2"/>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 xml:space="preserve">400 </w:t>
            </w:r>
            <w:proofErr w:type="spellStart"/>
            <w:r w:rsidRPr="00B425DA">
              <w:rPr>
                <w:rFonts w:ascii="Calibri" w:hAnsi="Calibri"/>
              </w:rPr>
              <w:t>kPa</w:t>
            </w:r>
            <w:proofErr w:type="spellEnd"/>
          </w:p>
        </w:tc>
        <w:tc>
          <w:tcPr>
            <w:tcW w:w="2835" w:type="dxa"/>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 xml:space="preserve">600 </w:t>
            </w:r>
            <w:proofErr w:type="spellStart"/>
            <w:r w:rsidRPr="00B425DA">
              <w:rPr>
                <w:rFonts w:ascii="Calibri" w:hAnsi="Calibri"/>
              </w:rPr>
              <w:t>kPa</w:t>
            </w:r>
            <w:proofErr w:type="spellEnd"/>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Vertikální únosnost - dovolená</w:t>
            </w:r>
          </w:p>
        </w:tc>
        <w:tc>
          <w:tcPr>
            <w:tcW w:w="2835" w:type="dxa"/>
            <w:gridSpan w:val="2"/>
            <w:shd w:val="clear" w:color="auto" w:fill="auto"/>
          </w:tcPr>
          <w:p w:rsidR="004A5AFF" w:rsidRPr="00B425DA" w:rsidRDefault="004A5AFF" w:rsidP="000F374B">
            <w:pPr>
              <w:spacing w:line="216" w:lineRule="auto"/>
              <w:jc w:val="center"/>
              <w:rPr>
                <w:rFonts w:ascii="Calibri" w:hAnsi="Calibri"/>
                <w:b/>
              </w:rPr>
            </w:pPr>
            <w:r w:rsidRPr="00B425DA">
              <w:rPr>
                <w:rFonts w:ascii="Calibri" w:hAnsi="Calibri"/>
                <w:b/>
              </w:rPr>
              <w:t xml:space="preserve">300 </w:t>
            </w:r>
            <w:proofErr w:type="spellStart"/>
            <w:r w:rsidRPr="00B425DA">
              <w:rPr>
                <w:rFonts w:ascii="Calibri" w:hAnsi="Calibri"/>
                <w:b/>
              </w:rPr>
              <w:t>k</w:t>
            </w:r>
            <w:bookmarkStart w:id="17" w:name="_GoBack"/>
            <w:bookmarkEnd w:id="17"/>
            <w:r w:rsidRPr="00B425DA">
              <w:rPr>
                <w:rFonts w:ascii="Calibri" w:hAnsi="Calibri"/>
                <w:b/>
              </w:rPr>
              <w:t>Pa</w:t>
            </w:r>
            <w:proofErr w:type="spellEnd"/>
          </w:p>
        </w:tc>
        <w:tc>
          <w:tcPr>
            <w:tcW w:w="2835" w:type="dxa"/>
            <w:shd w:val="clear" w:color="auto" w:fill="auto"/>
          </w:tcPr>
          <w:p w:rsidR="004A5AFF" w:rsidRPr="00B425DA" w:rsidRDefault="004A5AFF" w:rsidP="000F374B">
            <w:pPr>
              <w:spacing w:line="216" w:lineRule="auto"/>
              <w:jc w:val="center"/>
              <w:rPr>
                <w:rFonts w:ascii="Calibri" w:hAnsi="Calibri"/>
                <w:b/>
              </w:rPr>
            </w:pPr>
            <w:r w:rsidRPr="00B425DA">
              <w:rPr>
                <w:rFonts w:ascii="Calibri" w:hAnsi="Calibri"/>
                <w:b/>
              </w:rPr>
              <w:t xml:space="preserve">500 </w:t>
            </w:r>
            <w:proofErr w:type="spellStart"/>
            <w:r w:rsidRPr="00B425DA">
              <w:rPr>
                <w:rFonts w:ascii="Calibri" w:hAnsi="Calibri"/>
                <w:b/>
              </w:rPr>
              <w:t>kPa</w:t>
            </w:r>
            <w:proofErr w:type="spellEnd"/>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Horizontální únosnost – dovolená</w:t>
            </w:r>
          </w:p>
        </w:tc>
        <w:tc>
          <w:tcPr>
            <w:tcW w:w="2835" w:type="dxa"/>
            <w:gridSpan w:val="2"/>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 xml:space="preserve">15 </w:t>
            </w:r>
            <w:proofErr w:type="spellStart"/>
            <w:r w:rsidRPr="00B425DA">
              <w:rPr>
                <w:rFonts w:ascii="Calibri" w:hAnsi="Calibri"/>
              </w:rPr>
              <w:t>kPa</w:t>
            </w:r>
            <w:proofErr w:type="spellEnd"/>
          </w:p>
        </w:tc>
        <w:tc>
          <w:tcPr>
            <w:tcW w:w="2835" w:type="dxa"/>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 xml:space="preserve">20 </w:t>
            </w:r>
            <w:proofErr w:type="spellStart"/>
            <w:r w:rsidRPr="00B425DA">
              <w:rPr>
                <w:rFonts w:ascii="Calibri" w:hAnsi="Calibri"/>
              </w:rPr>
              <w:t>kPa</w:t>
            </w:r>
            <w:proofErr w:type="spellEnd"/>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Akumulace vody bez podkladu</w:t>
            </w:r>
          </w:p>
        </w:tc>
        <w:tc>
          <w:tcPr>
            <w:tcW w:w="2835" w:type="dxa"/>
            <w:gridSpan w:val="2"/>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1422 l</w:t>
            </w:r>
          </w:p>
        </w:tc>
        <w:tc>
          <w:tcPr>
            <w:tcW w:w="2835" w:type="dxa"/>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1422 l</w:t>
            </w:r>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Akumulační schopnost</w:t>
            </w:r>
          </w:p>
        </w:tc>
        <w:tc>
          <w:tcPr>
            <w:tcW w:w="2835" w:type="dxa"/>
            <w:gridSpan w:val="2"/>
            <w:shd w:val="clear" w:color="auto" w:fill="auto"/>
          </w:tcPr>
          <w:p w:rsidR="004A5AFF" w:rsidRPr="00B425DA" w:rsidRDefault="004A5AFF" w:rsidP="000F374B">
            <w:pPr>
              <w:spacing w:line="216" w:lineRule="auto"/>
              <w:jc w:val="center"/>
              <w:rPr>
                <w:rFonts w:ascii="Calibri" w:hAnsi="Calibri"/>
                <w:lang w:val="en-US"/>
              </w:rPr>
            </w:pPr>
            <w:r w:rsidRPr="00B425DA">
              <w:rPr>
                <w:rFonts w:ascii="Calibri" w:hAnsi="Calibri"/>
              </w:rPr>
              <w:t>95</w:t>
            </w:r>
            <w:r w:rsidRPr="00B425DA">
              <w:rPr>
                <w:rFonts w:ascii="Calibri" w:hAnsi="Calibri"/>
                <w:lang w:val="en-US"/>
              </w:rPr>
              <w:t>%</w:t>
            </w:r>
          </w:p>
        </w:tc>
        <w:tc>
          <w:tcPr>
            <w:tcW w:w="2835" w:type="dxa"/>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95</w:t>
            </w:r>
            <w:r w:rsidRPr="00B425DA">
              <w:rPr>
                <w:rFonts w:ascii="Calibri" w:hAnsi="Calibri"/>
                <w:lang w:val="en-US"/>
              </w:rPr>
              <w:t>%</w:t>
            </w:r>
          </w:p>
        </w:tc>
      </w:tr>
      <w:tr w:rsidR="004A5AFF" w:rsidTr="000F374B">
        <w:tc>
          <w:tcPr>
            <w:tcW w:w="3369" w:type="dxa"/>
            <w:shd w:val="clear" w:color="auto" w:fill="auto"/>
            <w:vAlign w:val="center"/>
          </w:tcPr>
          <w:p w:rsidR="004A5AFF" w:rsidRPr="00B425DA" w:rsidRDefault="004A5AFF" w:rsidP="000F374B">
            <w:pPr>
              <w:spacing w:line="216" w:lineRule="auto"/>
              <w:jc w:val="left"/>
              <w:rPr>
                <w:rFonts w:ascii="Calibri" w:hAnsi="Calibri"/>
                <w:b/>
              </w:rPr>
            </w:pPr>
            <w:r w:rsidRPr="00B425DA">
              <w:rPr>
                <w:rFonts w:ascii="Calibri" w:hAnsi="Calibri"/>
                <w:b/>
              </w:rPr>
              <w:t>Minimální krycí vrstva (zásyp)</w:t>
            </w:r>
            <w:r>
              <w:rPr>
                <w:rFonts w:ascii="Calibri" w:hAnsi="Calibri"/>
                <w:b/>
              </w:rPr>
              <w:t>*</w:t>
            </w:r>
          </w:p>
        </w:tc>
        <w:tc>
          <w:tcPr>
            <w:tcW w:w="1984" w:type="dxa"/>
            <w:tcBorders>
              <w:right w:val="nil"/>
            </w:tcBorders>
            <w:shd w:val="clear" w:color="auto" w:fill="auto"/>
          </w:tcPr>
          <w:p w:rsidR="004A5AFF" w:rsidRPr="00FC182A" w:rsidRDefault="004A5AFF" w:rsidP="000F374B">
            <w:pPr>
              <w:spacing w:line="216" w:lineRule="auto"/>
              <w:jc w:val="left"/>
              <w:rPr>
                <w:rFonts w:ascii="Calibri" w:hAnsi="Calibri"/>
                <w:sz w:val="20"/>
              </w:rPr>
            </w:pPr>
            <w:r w:rsidRPr="00FC182A">
              <w:rPr>
                <w:rFonts w:ascii="Calibri" w:hAnsi="Calibri"/>
                <w:sz w:val="20"/>
              </w:rPr>
              <w:t>Zelená plocha</w:t>
            </w:r>
          </w:p>
          <w:p w:rsidR="004A5AFF" w:rsidRPr="00FC182A" w:rsidRDefault="004A5AFF" w:rsidP="000F374B">
            <w:pPr>
              <w:spacing w:line="216" w:lineRule="auto"/>
              <w:jc w:val="left"/>
              <w:rPr>
                <w:rFonts w:ascii="Calibri" w:hAnsi="Calibri"/>
                <w:sz w:val="20"/>
              </w:rPr>
            </w:pPr>
            <w:r w:rsidRPr="00FC182A">
              <w:rPr>
                <w:rFonts w:ascii="Calibri" w:hAnsi="Calibri"/>
                <w:sz w:val="20"/>
              </w:rPr>
              <w:t>Chodník</w:t>
            </w:r>
          </w:p>
          <w:p w:rsidR="004A5AFF" w:rsidRPr="00FC182A" w:rsidRDefault="004A5AFF" w:rsidP="000F374B">
            <w:pPr>
              <w:spacing w:line="216" w:lineRule="auto"/>
              <w:jc w:val="left"/>
              <w:rPr>
                <w:rFonts w:ascii="Calibri" w:hAnsi="Calibri"/>
                <w:sz w:val="20"/>
              </w:rPr>
            </w:pPr>
            <w:r w:rsidRPr="00FC182A">
              <w:rPr>
                <w:rFonts w:ascii="Calibri" w:hAnsi="Calibri"/>
                <w:sz w:val="20"/>
              </w:rPr>
              <w:t>Pojízdná komunikace</w:t>
            </w:r>
          </w:p>
        </w:tc>
        <w:tc>
          <w:tcPr>
            <w:tcW w:w="851" w:type="dxa"/>
            <w:tcBorders>
              <w:left w:val="nil"/>
            </w:tcBorders>
            <w:shd w:val="clear" w:color="auto" w:fill="auto"/>
          </w:tcPr>
          <w:p w:rsidR="004A5AFF" w:rsidRPr="00FC182A" w:rsidRDefault="004A5AFF" w:rsidP="000F374B">
            <w:pPr>
              <w:spacing w:line="216" w:lineRule="auto"/>
              <w:jc w:val="left"/>
              <w:rPr>
                <w:rFonts w:ascii="Calibri" w:hAnsi="Calibri"/>
                <w:b/>
                <w:szCs w:val="22"/>
              </w:rPr>
            </w:pPr>
            <w:r w:rsidRPr="00FC182A">
              <w:rPr>
                <w:rFonts w:ascii="Calibri" w:hAnsi="Calibri"/>
                <w:b/>
                <w:szCs w:val="22"/>
              </w:rPr>
              <w:t>0,3 m</w:t>
            </w:r>
          </w:p>
          <w:p w:rsidR="004A5AFF" w:rsidRPr="00FC182A" w:rsidRDefault="004A5AFF" w:rsidP="000F374B">
            <w:pPr>
              <w:spacing w:line="216" w:lineRule="auto"/>
              <w:jc w:val="left"/>
              <w:rPr>
                <w:rFonts w:ascii="Calibri" w:hAnsi="Calibri"/>
                <w:b/>
                <w:szCs w:val="22"/>
              </w:rPr>
            </w:pPr>
            <w:r w:rsidRPr="00FC182A">
              <w:rPr>
                <w:rFonts w:ascii="Calibri" w:hAnsi="Calibri"/>
                <w:b/>
                <w:szCs w:val="22"/>
              </w:rPr>
              <w:t>0,6 m</w:t>
            </w:r>
          </w:p>
          <w:p w:rsidR="004A5AFF" w:rsidRPr="00FC182A" w:rsidRDefault="004A5AFF" w:rsidP="000F374B">
            <w:pPr>
              <w:spacing w:line="216" w:lineRule="auto"/>
              <w:jc w:val="left"/>
              <w:rPr>
                <w:rFonts w:ascii="Calibri" w:hAnsi="Calibri"/>
                <w:sz w:val="20"/>
              </w:rPr>
            </w:pPr>
            <w:r w:rsidRPr="00FC182A">
              <w:rPr>
                <w:rFonts w:ascii="Calibri" w:hAnsi="Calibri"/>
                <w:b/>
                <w:szCs w:val="22"/>
              </w:rPr>
              <w:t>0,72 m</w:t>
            </w:r>
          </w:p>
        </w:tc>
        <w:tc>
          <w:tcPr>
            <w:tcW w:w="2835" w:type="dxa"/>
            <w:shd w:val="clear" w:color="auto" w:fill="auto"/>
            <w:vAlign w:val="center"/>
          </w:tcPr>
          <w:p w:rsidR="004A5AFF" w:rsidRPr="00FC182A" w:rsidRDefault="004A5AFF" w:rsidP="000F374B">
            <w:pPr>
              <w:spacing w:line="216" w:lineRule="auto"/>
              <w:jc w:val="center"/>
              <w:rPr>
                <w:rFonts w:ascii="Calibri" w:hAnsi="Calibri"/>
                <w:b/>
              </w:rPr>
            </w:pPr>
            <w:r w:rsidRPr="00FC182A">
              <w:rPr>
                <w:rFonts w:ascii="Calibri" w:hAnsi="Calibri"/>
                <w:b/>
              </w:rPr>
              <w:t>0,9 m</w:t>
            </w:r>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Maximální krycí vrstva (zásyp)</w:t>
            </w:r>
            <w:r>
              <w:rPr>
                <w:rFonts w:ascii="Calibri" w:hAnsi="Calibri"/>
                <w:b/>
              </w:rPr>
              <w:t>*</w:t>
            </w:r>
          </w:p>
        </w:tc>
        <w:tc>
          <w:tcPr>
            <w:tcW w:w="2835" w:type="dxa"/>
            <w:gridSpan w:val="2"/>
            <w:shd w:val="clear" w:color="auto" w:fill="auto"/>
          </w:tcPr>
          <w:p w:rsidR="004A5AFF" w:rsidRPr="00B425DA" w:rsidRDefault="004A5AFF" w:rsidP="000F374B">
            <w:pPr>
              <w:spacing w:line="216" w:lineRule="auto"/>
              <w:jc w:val="center"/>
              <w:rPr>
                <w:rFonts w:ascii="Calibri" w:hAnsi="Calibri"/>
              </w:rPr>
            </w:pPr>
            <w:r w:rsidRPr="00B425DA">
              <w:rPr>
                <w:rFonts w:ascii="Calibri" w:hAnsi="Calibri"/>
              </w:rPr>
              <w:t>1,</w:t>
            </w:r>
            <w:r>
              <w:rPr>
                <w:rFonts w:ascii="Calibri" w:hAnsi="Calibri"/>
              </w:rPr>
              <w:t>8</w:t>
            </w:r>
            <w:r w:rsidRPr="00B425DA">
              <w:rPr>
                <w:rFonts w:ascii="Calibri" w:hAnsi="Calibri"/>
              </w:rPr>
              <w:t xml:space="preserve"> m</w:t>
            </w:r>
          </w:p>
        </w:tc>
        <w:tc>
          <w:tcPr>
            <w:tcW w:w="2835" w:type="dxa"/>
            <w:shd w:val="clear" w:color="auto" w:fill="auto"/>
          </w:tcPr>
          <w:p w:rsidR="004A5AFF" w:rsidRPr="00B425DA" w:rsidRDefault="004A5AFF" w:rsidP="000F374B">
            <w:pPr>
              <w:spacing w:line="216" w:lineRule="auto"/>
              <w:jc w:val="center"/>
              <w:rPr>
                <w:rFonts w:ascii="Calibri" w:hAnsi="Calibri"/>
              </w:rPr>
            </w:pPr>
            <w:r>
              <w:rPr>
                <w:rFonts w:ascii="Calibri" w:hAnsi="Calibri"/>
              </w:rPr>
              <w:t xml:space="preserve"> 3,5</w:t>
            </w:r>
            <w:r w:rsidRPr="00B425DA">
              <w:rPr>
                <w:rFonts w:ascii="Calibri" w:hAnsi="Calibri"/>
              </w:rPr>
              <w:t xml:space="preserve"> m</w:t>
            </w:r>
          </w:p>
        </w:tc>
      </w:tr>
      <w:tr w:rsidR="004A5AFF" w:rsidTr="000F374B">
        <w:tc>
          <w:tcPr>
            <w:tcW w:w="3369" w:type="dxa"/>
            <w:shd w:val="clear" w:color="auto" w:fill="auto"/>
          </w:tcPr>
          <w:p w:rsidR="004A5AFF" w:rsidRPr="00B425DA" w:rsidRDefault="004A5AFF" w:rsidP="000F374B">
            <w:pPr>
              <w:spacing w:line="216" w:lineRule="auto"/>
              <w:rPr>
                <w:rFonts w:ascii="Calibri" w:hAnsi="Calibri"/>
                <w:b/>
              </w:rPr>
            </w:pPr>
            <w:r w:rsidRPr="00B425DA">
              <w:rPr>
                <w:rFonts w:ascii="Calibri" w:hAnsi="Calibri"/>
                <w:b/>
              </w:rPr>
              <w:t>Hmotnost bloku</w:t>
            </w:r>
          </w:p>
        </w:tc>
        <w:tc>
          <w:tcPr>
            <w:tcW w:w="2835" w:type="dxa"/>
            <w:gridSpan w:val="2"/>
            <w:shd w:val="clear" w:color="auto" w:fill="auto"/>
          </w:tcPr>
          <w:p w:rsidR="004A5AFF" w:rsidRPr="00B425DA" w:rsidRDefault="004A5AFF" w:rsidP="000F374B">
            <w:pPr>
              <w:spacing w:line="216" w:lineRule="auto"/>
              <w:jc w:val="center"/>
              <w:rPr>
                <w:rFonts w:ascii="Calibri" w:hAnsi="Calibri"/>
              </w:rPr>
            </w:pPr>
            <w:r>
              <w:rPr>
                <w:rFonts w:ascii="Calibri" w:hAnsi="Calibri"/>
              </w:rPr>
              <w:t>59</w:t>
            </w:r>
            <w:r w:rsidRPr="00B425DA">
              <w:rPr>
                <w:rFonts w:ascii="Calibri" w:hAnsi="Calibri"/>
              </w:rPr>
              <w:t xml:space="preserve"> kg</w:t>
            </w:r>
          </w:p>
        </w:tc>
        <w:tc>
          <w:tcPr>
            <w:tcW w:w="2835" w:type="dxa"/>
            <w:shd w:val="clear" w:color="auto" w:fill="auto"/>
          </w:tcPr>
          <w:p w:rsidR="004A5AFF" w:rsidRPr="00B425DA" w:rsidRDefault="004A5AFF" w:rsidP="000F374B">
            <w:pPr>
              <w:spacing w:line="216" w:lineRule="auto"/>
              <w:jc w:val="center"/>
              <w:rPr>
                <w:rFonts w:ascii="Calibri" w:hAnsi="Calibri"/>
              </w:rPr>
            </w:pPr>
            <w:r>
              <w:rPr>
                <w:rFonts w:ascii="Calibri" w:hAnsi="Calibri"/>
              </w:rPr>
              <w:t>73</w:t>
            </w:r>
            <w:r w:rsidRPr="00B425DA">
              <w:rPr>
                <w:rFonts w:ascii="Calibri" w:hAnsi="Calibri"/>
              </w:rPr>
              <w:t xml:space="preserve"> kg</w:t>
            </w:r>
          </w:p>
        </w:tc>
      </w:tr>
      <w:tr w:rsidR="004A5AFF" w:rsidTr="000F374B">
        <w:tc>
          <w:tcPr>
            <w:tcW w:w="3369" w:type="dxa"/>
            <w:shd w:val="clear" w:color="auto" w:fill="auto"/>
            <w:vAlign w:val="center"/>
          </w:tcPr>
          <w:p w:rsidR="004A5AFF" w:rsidRPr="00B425DA" w:rsidRDefault="004A5AFF" w:rsidP="000F374B">
            <w:pPr>
              <w:spacing w:line="216" w:lineRule="auto"/>
              <w:jc w:val="left"/>
              <w:rPr>
                <w:rFonts w:ascii="Calibri" w:hAnsi="Calibri"/>
                <w:b/>
              </w:rPr>
            </w:pPr>
            <w:r w:rsidRPr="00B425DA">
              <w:rPr>
                <w:rFonts w:ascii="Calibri" w:hAnsi="Calibri"/>
                <w:b/>
              </w:rPr>
              <w:t>Chemická odolnost</w:t>
            </w:r>
          </w:p>
        </w:tc>
        <w:tc>
          <w:tcPr>
            <w:tcW w:w="5670" w:type="dxa"/>
            <w:gridSpan w:val="3"/>
            <w:shd w:val="clear" w:color="auto" w:fill="auto"/>
            <w:vAlign w:val="center"/>
          </w:tcPr>
          <w:p w:rsidR="004A5AFF" w:rsidRPr="001D6337" w:rsidRDefault="004A5AFF" w:rsidP="000F374B">
            <w:pPr>
              <w:spacing w:line="216" w:lineRule="auto"/>
              <w:jc w:val="center"/>
              <w:rPr>
                <w:rFonts w:ascii="Calibri" w:hAnsi="Calibri"/>
                <w:sz w:val="20"/>
              </w:rPr>
            </w:pPr>
            <w:r w:rsidRPr="001D6337">
              <w:rPr>
                <w:rFonts w:ascii="Calibri" w:hAnsi="Calibri"/>
                <w:sz w:val="20"/>
              </w:rPr>
              <w:t xml:space="preserve">Vynikající odolnost </w:t>
            </w:r>
            <w:proofErr w:type="gramStart"/>
            <w:r w:rsidRPr="001D6337">
              <w:rPr>
                <w:rFonts w:ascii="Calibri" w:hAnsi="Calibri"/>
                <w:sz w:val="20"/>
              </w:rPr>
              <w:t>vůči</w:t>
            </w:r>
            <w:proofErr w:type="gramEnd"/>
            <w:r w:rsidRPr="001D6337">
              <w:rPr>
                <w:rFonts w:ascii="Calibri" w:hAnsi="Calibri"/>
                <w:sz w:val="20"/>
              </w:rPr>
              <w:t>: většině kyselin, zásad a solných roztoků</w:t>
            </w:r>
          </w:p>
        </w:tc>
      </w:tr>
    </w:tbl>
    <w:p w:rsidR="004A5AFF" w:rsidRPr="004A5AFF" w:rsidRDefault="004A5AFF" w:rsidP="004A5AFF">
      <w:pPr>
        <w:rPr>
          <w:sz w:val="16"/>
          <w:szCs w:val="16"/>
        </w:rPr>
      </w:pPr>
      <w:bookmarkStart w:id="18" w:name="_Ref366486002"/>
      <w:bookmarkStart w:id="19" w:name="_Ref366487161"/>
      <w:r w:rsidRPr="004A5AFF">
        <w:rPr>
          <w:sz w:val="16"/>
          <w:szCs w:val="16"/>
        </w:rPr>
        <w:t>* mezi horní plochou bloku a upraveným terénem.</w:t>
      </w:r>
    </w:p>
    <w:bookmarkEnd w:id="18"/>
    <w:bookmarkEnd w:id="19"/>
    <w:p w:rsidR="00E91F81" w:rsidRDefault="00E91F81" w:rsidP="00E91F81">
      <w:pPr>
        <w:keepNext w:val="0"/>
        <w:jc w:val="left"/>
        <w:rPr>
          <w:b/>
          <w:sz w:val="24"/>
        </w:rPr>
      </w:pPr>
    </w:p>
    <w:p w:rsidR="005F3A61" w:rsidRPr="00587B65" w:rsidRDefault="005F3A61" w:rsidP="00A33A39"/>
    <w:sectPr w:rsidR="005F3A61" w:rsidRPr="00587B65" w:rsidSect="0096539C">
      <w:pgSz w:w="11906" w:h="16838" w:code="9"/>
      <w:pgMar w:top="1418" w:right="1134" w:bottom="1418"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D1" w:rsidRDefault="005943D1">
      <w:r>
        <w:separator/>
      </w:r>
    </w:p>
  </w:endnote>
  <w:endnote w:type="continuationSeparator" w:id="0">
    <w:p w:rsidR="005943D1" w:rsidRDefault="005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D1" w:rsidRDefault="005943D1">
      <w:r>
        <w:separator/>
      </w:r>
    </w:p>
  </w:footnote>
  <w:footnote w:type="continuationSeparator" w:id="0">
    <w:p w:rsidR="005943D1" w:rsidRDefault="0059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49C"/>
    <w:multiLevelType w:val="singleLevel"/>
    <w:tmpl w:val="4D80A914"/>
    <w:lvl w:ilvl="0">
      <w:start w:val="2"/>
      <w:numFmt w:val="bullet"/>
      <w:lvlText w:val="-"/>
      <w:lvlJc w:val="left"/>
      <w:pPr>
        <w:tabs>
          <w:tab w:val="num" w:pos="360"/>
        </w:tabs>
        <w:ind w:left="360" w:hanging="360"/>
      </w:pPr>
      <w:rPr>
        <w:rFonts w:ascii="Times New Roman" w:hAnsi="Times New Roman" w:hint="default"/>
      </w:rPr>
    </w:lvl>
  </w:abstractNum>
  <w:abstractNum w:abstractNumId="1">
    <w:nsid w:val="103E3B0C"/>
    <w:multiLevelType w:val="hybridMultilevel"/>
    <w:tmpl w:val="DA1E5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7624BA5"/>
    <w:multiLevelType w:val="hybridMultilevel"/>
    <w:tmpl w:val="E42C0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FD0F6E"/>
    <w:multiLevelType w:val="hybridMultilevel"/>
    <w:tmpl w:val="2B70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B52EEA"/>
    <w:multiLevelType w:val="multilevel"/>
    <w:tmpl w:val="DC240A6C"/>
    <w:lvl w:ilvl="0">
      <w:start w:val="1"/>
      <w:numFmt w:val="decimal"/>
      <w:pStyle w:val="Nadpis1"/>
      <w:lvlText w:val="%1"/>
      <w:lvlJc w:val="left"/>
      <w:pPr>
        <w:ind w:left="502" w:hanging="360"/>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CB1B5E"/>
    <w:multiLevelType w:val="hybridMultilevel"/>
    <w:tmpl w:val="441C5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E56D39"/>
    <w:multiLevelType w:val="hybridMultilevel"/>
    <w:tmpl w:val="DF3C8540"/>
    <w:lvl w:ilvl="0" w:tplc="AB90249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89F3F16"/>
    <w:multiLevelType w:val="hybridMultilevel"/>
    <w:tmpl w:val="DEAE5274"/>
    <w:lvl w:ilvl="0" w:tplc="04A474CE">
      <w:start w:val="1"/>
      <w:numFmt w:val="bullet"/>
      <w:lvlText w:val=""/>
      <w:lvlJc w:val="left"/>
      <w:pPr>
        <w:tabs>
          <w:tab w:val="num" w:pos="1451"/>
        </w:tabs>
        <w:ind w:left="1451" w:hanging="360"/>
      </w:pPr>
      <w:rPr>
        <w:rFonts w:ascii="Symbol" w:hAnsi="Symbol" w:hint="default"/>
        <w:color w:val="auto"/>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8">
    <w:nsid w:val="54C55B02"/>
    <w:multiLevelType w:val="hybridMultilevel"/>
    <w:tmpl w:val="5B5415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5C412E9"/>
    <w:multiLevelType w:val="multilevel"/>
    <w:tmpl w:val="9392E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6151F6A"/>
    <w:multiLevelType w:val="hybridMultilevel"/>
    <w:tmpl w:val="DEAE5274"/>
    <w:lvl w:ilvl="0" w:tplc="E886211C">
      <w:start w:val="1"/>
      <w:numFmt w:val="bullet"/>
      <w:pStyle w:val="Bezpenostnpokynodraen"/>
      <w:lvlText w:val="-"/>
      <w:lvlJc w:val="left"/>
      <w:pPr>
        <w:tabs>
          <w:tab w:val="num" w:pos="1440"/>
        </w:tabs>
        <w:ind w:left="1440" w:hanging="360"/>
      </w:pPr>
      <w:rPr>
        <w:rFonts w:ascii="Times New Roman" w:hAnsi="Times New Roman" w:cs="Times New Roman"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F9509DE"/>
    <w:multiLevelType w:val="multilevel"/>
    <w:tmpl w:val="7B3ADDC6"/>
    <w:lvl w:ilvl="0">
      <w:start w:val="1"/>
      <w:numFmt w:val="bullet"/>
      <w:pStyle w:val="odraen12"/>
      <w:lvlText w:val=""/>
      <w:lvlJc w:val="left"/>
      <w:pPr>
        <w:tabs>
          <w:tab w:val="num" w:pos="720"/>
        </w:tabs>
        <w:ind w:left="720" w:hanging="360"/>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CF926D5"/>
    <w:multiLevelType w:val="hybridMultilevel"/>
    <w:tmpl w:val="C5E68D68"/>
    <w:lvl w:ilvl="0" w:tplc="073A92B8">
      <w:start w:val="1"/>
      <w:numFmt w:val="bullet"/>
      <w:lvlText w:val=""/>
      <w:lvlJc w:val="left"/>
      <w:pPr>
        <w:ind w:left="1571" w:hanging="360"/>
      </w:pPr>
      <w:rPr>
        <w:rFonts w:ascii="Symbol" w:hAnsi="Symbol" w:hint="default"/>
      </w:rPr>
    </w:lvl>
    <w:lvl w:ilvl="1" w:tplc="4B80F290" w:tentative="1">
      <w:start w:val="1"/>
      <w:numFmt w:val="bullet"/>
      <w:lvlText w:val="o"/>
      <w:lvlJc w:val="left"/>
      <w:pPr>
        <w:ind w:left="2291" w:hanging="360"/>
      </w:pPr>
      <w:rPr>
        <w:rFonts w:ascii="Courier New" w:hAnsi="Courier New" w:cs="Courier New" w:hint="default"/>
      </w:rPr>
    </w:lvl>
    <w:lvl w:ilvl="2" w:tplc="3AE23F62" w:tentative="1">
      <w:start w:val="1"/>
      <w:numFmt w:val="bullet"/>
      <w:lvlText w:val=""/>
      <w:lvlJc w:val="left"/>
      <w:pPr>
        <w:ind w:left="3011" w:hanging="360"/>
      </w:pPr>
      <w:rPr>
        <w:rFonts w:ascii="Wingdings" w:hAnsi="Wingdings" w:hint="default"/>
      </w:rPr>
    </w:lvl>
    <w:lvl w:ilvl="3" w:tplc="FF922CE0" w:tentative="1">
      <w:start w:val="1"/>
      <w:numFmt w:val="bullet"/>
      <w:lvlText w:val=""/>
      <w:lvlJc w:val="left"/>
      <w:pPr>
        <w:ind w:left="3731" w:hanging="360"/>
      </w:pPr>
      <w:rPr>
        <w:rFonts w:ascii="Symbol" w:hAnsi="Symbol" w:hint="default"/>
      </w:rPr>
    </w:lvl>
    <w:lvl w:ilvl="4" w:tplc="0F8E2532" w:tentative="1">
      <w:start w:val="1"/>
      <w:numFmt w:val="bullet"/>
      <w:lvlText w:val="o"/>
      <w:lvlJc w:val="left"/>
      <w:pPr>
        <w:ind w:left="4451" w:hanging="360"/>
      </w:pPr>
      <w:rPr>
        <w:rFonts w:ascii="Courier New" w:hAnsi="Courier New" w:cs="Courier New" w:hint="default"/>
      </w:rPr>
    </w:lvl>
    <w:lvl w:ilvl="5" w:tplc="6D523B98" w:tentative="1">
      <w:start w:val="1"/>
      <w:numFmt w:val="bullet"/>
      <w:lvlText w:val=""/>
      <w:lvlJc w:val="left"/>
      <w:pPr>
        <w:ind w:left="5171" w:hanging="360"/>
      </w:pPr>
      <w:rPr>
        <w:rFonts w:ascii="Wingdings" w:hAnsi="Wingdings" w:hint="default"/>
      </w:rPr>
    </w:lvl>
    <w:lvl w:ilvl="6" w:tplc="B74A48E0" w:tentative="1">
      <w:start w:val="1"/>
      <w:numFmt w:val="bullet"/>
      <w:lvlText w:val=""/>
      <w:lvlJc w:val="left"/>
      <w:pPr>
        <w:ind w:left="5891" w:hanging="360"/>
      </w:pPr>
      <w:rPr>
        <w:rFonts w:ascii="Symbol" w:hAnsi="Symbol" w:hint="default"/>
      </w:rPr>
    </w:lvl>
    <w:lvl w:ilvl="7" w:tplc="2DCA2A0C" w:tentative="1">
      <w:start w:val="1"/>
      <w:numFmt w:val="bullet"/>
      <w:lvlText w:val="o"/>
      <w:lvlJc w:val="left"/>
      <w:pPr>
        <w:ind w:left="6611" w:hanging="360"/>
      </w:pPr>
      <w:rPr>
        <w:rFonts w:ascii="Courier New" w:hAnsi="Courier New" w:cs="Courier New" w:hint="default"/>
      </w:rPr>
    </w:lvl>
    <w:lvl w:ilvl="8" w:tplc="764805E0" w:tentative="1">
      <w:start w:val="1"/>
      <w:numFmt w:val="bullet"/>
      <w:lvlText w:val=""/>
      <w:lvlJc w:val="left"/>
      <w:pPr>
        <w:ind w:left="7331" w:hanging="360"/>
      </w:pPr>
      <w:rPr>
        <w:rFonts w:ascii="Wingdings" w:hAnsi="Wingdings" w:hint="default"/>
      </w:rPr>
    </w:lvl>
  </w:abstractNum>
  <w:num w:numId="1">
    <w:abstractNumId w:val="9"/>
  </w:num>
  <w:num w:numId="2">
    <w:abstractNumId w:val="4"/>
  </w:num>
  <w:num w:numId="3">
    <w:abstractNumId w:val="4"/>
  </w:num>
  <w:num w:numId="4">
    <w:abstractNumId w:val="0"/>
  </w:num>
  <w:num w:numId="5">
    <w:abstractNumId w:val="11"/>
  </w:num>
  <w:num w:numId="6">
    <w:abstractNumId w:val="10"/>
  </w:num>
  <w:num w:numId="7">
    <w:abstractNumId w:val="7"/>
  </w:num>
  <w:num w:numId="8">
    <w:abstractNumId w:val="6"/>
  </w:num>
  <w:num w:numId="9">
    <w:abstractNumId w:val="8"/>
  </w:num>
  <w:num w:numId="10">
    <w:abstractNumId w:val="4"/>
  </w:num>
  <w:num w:numId="11">
    <w:abstractNumId w:val="2"/>
  </w:num>
  <w:num w:numId="12">
    <w:abstractNumId w:val="5"/>
  </w:num>
  <w:num w:numId="13">
    <w:abstractNumId w:val="1"/>
  </w:num>
  <w:num w:numId="14">
    <w:abstractNumId w:val="10"/>
  </w:num>
  <w:num w:numId="15">
    <w:abstractNumId w:val="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hyphenationZone w:val="425"/>
  <w:evenAndOddHeaders/>
  <w:drawingGridHorizontalSpacing w:val="110"/>
  <w:drawingGridVerticalSpacing w:val="181"/>
  <w:displayHorizontalDrawingGridEvery w:val="0"/>
  <w:displayVerticalDrawingGridEvery w:val="0"/>
  <w:noPunctuationKerning/>
  <w:characterSpacingControl w:val="doNotCompress"/>
  <w:hdrShapeDefaults>
    <o:shapedefaults v:ext="edit" spidmax="10241">
      <v:stroke endarrow="block" endarrowwidth="narrow"/>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2A8"/>
    <w:rsid w:val="00000F04"/>
    <w:rsid w:val="00004FDB"/>
    <w:rsid w:val="00005C87"/>
    <w:rsid w:val="000113AF"/>
    <w:rsid w:val="00013408"/>
    <w:rsid w:val="00022088"/>
    <w:rsid w:val="000261C9"/>
    <w:rsid w:val="00032924"/>
    <w:rsid w:val="0003315B"/>
    <w:rsid w:val="00036775"/>
    <w:rsid w:val="00041448"/>
    <w:rsid w:val="0005361D"/>
    <w:rsid w:val="000638EB"/>
    <w:rsid w:val="00067166"/>
    <w:rsid w:val="0007769F"/>
    <w:rsid w:val="00077E54"/>
    <w:rsid w:val="00094AB7"/>
    <w:rsid w:val="000A502D"/>
    <w:rsid w:val="000B4762"/>
    <w:rsid w:val="000C34B8"/>
    <w:rsid w:val="000F0C59"/>
    <w:rsid w:val="000F4D0C"/>
    <w:rsid w:val="001017B9"/>
    <w:rsid w:val="001104EE"/>
    <w:rsid w:val="0011771B"/>
    <w:rsid w:val="00133468"/>
    <w:rsid w:val="00150076"/>
    <w:rsid w:val="001513CC"/>
    <w:rsid w:val="00167A99"/>
    <w:rsid w:val="00172387"/>
    <w:rsid w:val="00193CC6"/>
    <w:rsid w:val="00194F72"/>
    <w:rsid w:val="001A3A72"/>
    <w:rsid w:val="001B0142"/>
    <w:rsid w:val="001B4B1E"/>
    <w:rsid w:val="001C264A"/>
    <w:rsid w:val="001C2ECC"/>
    <w:rsid w:val="001D1745"/>
    <w:rsid w:val="001D2384"/>
    <w:rsid w:val="001D2D55"/>
    <w:rsid w:val="001F403B"/>
    <w:rsid w:val="00200C17"/>
    <w:rsid w:val="00207CF2"/>
    <w:rsid w:val="00211B86"/>
    <w:rsid w:val="00211CF3"/>
    <w:rsid w:val="00214C9A"/>
    <w:rsid w:val="002251C9"/>
    <w:rsid w:val="00251184"/>
    <w:rsid w:val="00262164"/>
    <w:rsid w:val="002705E6"/>
    <w:rsid w:val="00285EB7"/>
    <w:rsid w:val="0028632B"/>
    <w:rsid w:val="002919E0"/>
    <w:rsid w:val="002931E5"/>
    <w:rsid w:val="002A2832"/>
    <w:rsid w:val="002B4D22"/>
    <w:rsid w:val="002C35BB"/>
    <w:rsid w:val="003019D8"/>
    <w:rsid w:val="00304C3B"/>
    <w:rsid w:val="0031013D"/>
    <w:rsid w:val="003127AE"/>
    <w:rsid w:val="00322DC0"/>
    <w:rsid w:val="003428DA"/>
    <w:rsid w:val="003517B7"/>
    <w:rsid w:val="00366850"/>
    <w:rsid w:val="00380827"/>
    <w:rsid w:val="00383162"/>
    <w:rsid w:val="00383F94"/>
    <w:rsid w:val="003A562F"/>
    <w:rsid w:val="003A7980"/>
    <w:rsid w:val="003B56BF"/>
    <w:rsid w:val="004219E0"/>
    <w:rsid w:val="004453FD"/>
    <w:rsid w:val="00480383"/>
    <w:rsid w:val="00485D1A"/>
    <w:rsid w:val="004A5AFF"/>
    <w:rsid w:val="004A7608"/>
    <w:rsid w:val="004B2F0A"/>
    <w:rsid w:val="004C0163"/>
    <w:rsid w:val="004D2268"/>
    <w:rsid w:val="004D2583"/>
    <w:rsid w:val="004D4E43"/>
    <w:rsid w:val="004E087C"/>
    <w:rsid w:val="004E0954"/>
    <w:rsid w:val="004E1288"/>
    <w:rsid w:val="004E3BA4"/>
    <w:rsid w:val="004F3EF5"/>
    <w:rsid w:val="0050405E"/>
    <w:rsid w:val="00533ECC"/>
    <w:rsid w:val="00553B2A"/>
    <w:rsid w:val="00563514"/>
    <w:rsid w:val="00587B65"/>
    <w:rsid w:val="005942F4"/>
    <w:rsid w:val="005943D1"/>
    <w:rsid w:val="005A011C"/>
    <w:rsid w:val="005E401B"/>
    <w:rsid w:val="005E69CC"/>
    <w:rsid w:val="005F3A61"/>
    <w:rsid w:val="006060A8"/>
    <w:rsid w:val="00623036"/>
    <w:rsid w:val="006512A1"/>
    <w:rsid w:val="0065516F"/>
    <w:rsid w:val="00656C9B"/>
    <w:rsid w:val="00664D0C"/>
    <w:rsid w:val="00673F05"/>
    <w:rsid w:val="00680D5C"/>
    <w:rsid w:val="00686C53"/>
    <w:rsid w:val="006A3586"/>
    <w:rsid w:val="006A3781"/>
    <w:rsid w:val="006C6728"/>
    <w:rsid w:val="006D5032"/>
    <w:rsid w:val="006E7ED4"/>
    <w:rsid w:val="006F2F73"/>
    <w:rsid w:val="00715E60"/>
    <w:rsid w:val="007162A9"/>
    <w:rsid w:val="00722B5A"/>
    <w:rsid w:val="00722E5B"/>
    <w:rsid w:val="007255C7"/>
    <w:rsid w:val="00733A5A"/>
    <w:rsid w:val="00735BE8"/>
    <w:rsid w:val="00745E8F"/>
    <w:rsid w:val="007534D8"/>
    <w:rsid w:val="007562F3"/>
    <w:rsid w:val="00761B7F"/>
    <w:rsid w:val="00763543"/>
    <w:rsid w:val="00772101"/>
    <w:rsid w:val="00774905"/>
    <w:rsid w:val="00776455"/>
    <w:rsid w:val="0078371E"/>
    <w:rsid w:val="00785D15"/>
    <w:rsid w:val="007A7C32"/>
    <w:rsid w:val="007C0E48"/>
    <w:rsid w:val="007C797C"/>
    <w:rsid w:val="007D08A8"/>
    <w:rsid w:val="007D6D61"/>
    <w:rsid w:val="00804ED7"/>
    <w:rsid w:val="0081526A"/>
    <w:rsid w:val="00822D8E"/>
    <w:rsid w:val="00830449"/>
    <w:rsid w:val="00840F82"/>
    <w:rsid w:val="00845341"/>
    <w:rsid w:val="00853840"/>
    <w:rsid w:val="0086550B"/>
    <w:rsid w:val="008658BB"/>
    <w:rsid w:val="008A430F"/>
    <w:rsid w:val="008D15B8"/>
    <w:rsid w:val="008D3995"/>
    <w:rsid w:val="008E1B4D"/>
    <w:rsid w:val="008E313B"/>
    <w:rsid w:val="008E72A8"/>
    <w:rsid w:val="0090043D"/>
    <w:rsid w:val="00914370"/>
    <w:rsid w:val="00932013"/>
    <w:rsid w:val="00942186"/>
    <w:rsid w:val="00955AB4"/>
    <w:rsid w:val="009611E9"/>
    <w:rsid w:val="00965192"/>
    <w:rsid w:val="0096539C"/>
    <w:rsid w:val="00974F9B"/>
    <w:rsid w:val="00982B49"/>
    <w:rsid w:val="00992848"/>
    <w:rsid w:val="00994333"/>
    <w:rsid w:val="009A0D9C"/>
    <w:rsid w:val="009B7293"/>
    <w:rsid w:val="009C7604"/>
    <w:rsid w:val="009D30E0"/>
    <w:rsid w:val="009D5E27"/>
    <w:rsid w:val="009E5544"/>
    <w:rsid w:val="009F2B96"/>
    <w:rsid w:val="00A068C0"/>
    <w:rsid w:val="00A11E56"/>
    <w:rsid w:val="00A13576"/>
    <w:rsid w:val="00A33A39"/>
    <w:rsid w:val="00A33B46"/>
    <w:rsid w:val="00A43656"/>
    <w:rsid w:val="00A54A81"/>
    <w:rsid w:val="00A871C5"/>
    <w:rsid w:val="00A91133"/>
    <w:rsid w:val="00AA0513"/>
    <w:rsid w:val="00AA3484"/>
    <w:rsid w:val="00AB3953"/>
    <w:rsid w:val="00AC7C84"/>
    <w:rsid w:val="00AE75EE"/>
    <w:rsid w:val="00AF5AD0"/>
    <w:rsid w:val="00B07B05"/>
    <w:rsid w:val="00B156CF"/>
    <w:rsid w:val="00B21AD7"/>
    <w:rsid w:val="00B232BA"/>
    <w:rsid w:val="00B26EE5"/>
    <w:rsid w:val="00B30B63"/>
    <w:rsid w:val="00B31592"/>
    <w:rsid w:val="00B34165"/>
    <w:rsid w:val="00B448C5"/>
    <w:rsid w:val="00B45492"/>
    <w:rsid w:val="00B55528"/>
    <w:rsid w:val="00B56393"/>
    <w:rsid w:val="00B718AA"/>
    <w:rsid w:val="00B76ADD"/>
    <w:rsid w:val="00B80A89"/>
    <w:rsid w:val="00B91C61"/>
    <w:rsid w:val="00B926D5"/>
    <w:rsid w:val="00B954AC"/>
    <w:rsid w:val="00BA481A"/>
    <w:rsid w:val="00BB10B4"/>
    <w:rsid w:val="00BB3963"/>
    <w:rsid w:val="00BC56B6"/>
    <w:rsid w:val="00BD1174"/>
    <w:rsid w:val="00BD33DE"/>
    <w:rsid w:val="00BE08B1"/>
    <w:rsid w:val="00BE4ED5"/>
    <w:rsid w:val="00BF13E0"/>
    <w:rsid w:val="00BF1A96"/>
    <w:rsid w:val="00C00CD0"/>
    <w:rsid w:val="00C0577F"/>
    <w:rsid w:val="00C1638F"/>
    <w:rsid w:val="00C40A2E"/>
    <w:rsid w:val="00C47961"/>
    <w:rsid w:val="00C7279A"/>
    <w:rsid w:val="00C9653C"/>
    <w:rsid w:val="00CB3A4C"/>
    <w:rsid w:val="00CC2F66"/>
    <w:rsid w:val="00CD5DDD"/>
    <w:rsid w:val="00CE0874"/>
    <w:rsid w:val="00D22D30"/>
    <w:rsid w:val="00D356D6"/>
    <w:rsid w:val="00D36D68"/>
    <w:rsid w:val="00D60BD7"/>
    <w:rsid w:val="00D729E6"/>
    <w:rsid w:val="00D74527"/>
    <w:rsid w:val="00DA04D0"/>
    <w:rsid w:val="00DA7690"/>
    <w:rsid w:val="00DC4D5D"/>
    <w:rsid w:val="00DD2960"/>
    <w:rsid w:val="00DF1977"/>
    <w:rsid w:val="00DF6F52"/>
    <w:rsid w:val="00E01955"/>
    <w:rsid w:val="00E236BB"/>
    <w:rsid w:val="00E37A24"/>
    <w:rsid w:val="00E44085"/>
    <w:rsid w:val="00E449FF"/>
    <w:rsid w:val="00E90A6C"/>
    <w:rsid w:val="00E91F81"/>
    <w:rsid w:val="00E96D00"/>
    <w:rsid w:val="00EB076F"/>
    <w:rsid w:val="00EC5CD1"/>
    <w:rsid w:val="00ED2937"/>
    <w:rsid w:val="00ED34EF"/>
    <w:rsid w:val="00EE03DF"/>
    <w:rsid w:val="00EE04C9"/>
    <w:rsid w:val="00EF409B"/>
    <w:rsid w:val="00F12628"/>
    <w:rsid w:val="00F4443D"/>
    <w:rsid w:val="00F56072"/>
    <w:rsid w:val="00F564EC"/>
    <w:rsid w:val="00F632D2"/>
    <w:rsid w:val="00F72B10"/>
    <w:rsid w:val="00F86FBB"/>
    <w:rsid w:val="00F92B82"/>
    <w:rsid w:val="00FA0EF8"/>
    <w:rsid w:val="00FA47DA"/>
    <w:rsid w:val="00FF7957"/>
    <w:rsid w:val="00FF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142"/>
    <w:pPr>
      <w:keepNext/>
      <w:jc w:val="both"/>
    </w:pPr>
    <w:rPr>
      <w:rFonts w:ascii="Arial" w:hAnsi="Arial"/>
      <w:sz w:val="22"/>
    </w:rPr>
  </w:style>
  <w:style w:type="paragraph" w:styleId="Nadpis1">
    <w:name w:val="heading 1"/>
    <w:basedOn w:val="Normln"/>
    <w:next w:val="Normln"/>
    <w:autoRedefine/>
    <w:qFormat/>
    <w:rsid w:val="00974F9B"/>
    <w:pPr>
      <w:keepNext w:val="0"/>
      <w:keepLines/>
      <w:numPr>
        <w:numId w:val="3"/>
      </w:numPr>
      <w:spacing w:before="240" w:after="120"/>
      <w:outlineLvl w:val="0"/>
    </w:pPr>
    <w:rPr>
      <w:b/>
      <w:caps/>
      <w:kern w:val="28"/>
      <w:sz w:val="28"/>
      <w:szCs w:val="24"/>
    </w:rPr>
  </w:style>
  <w:style w:type="paragraph" w:styleId="Nadpis2">
    <w:name w:val="heading 2"/>
    <w:basedOn w:val="Normln"/>
    <w:next w:val="Normln"/>
    <w:autoRedefine/>
    <w:qFormat/>
    <w:rsid w:val="0050405E"/>
    <w:pPr>
      <w:keepNext w:val="0"/>
      <w:spacing w:before="120"/>
      <w:outlineLvl w:val="1"/>
    </w:pPr>
    <w:rPr>
      <w:b/>
      <w:sz w:val="24"/>
      <w:szCs w:val="24"/>
    </w:rPr>
  </w:style>
  <w:style w:type="paragraph" w:styleId="Nadpis3">
    <w:name w:val="heading 3"/>
    <w:basedOn w:val="Normln"/>
    <w:next w:val="Normln"/>
    <w:autoRedefine/>
    <w:qFormat/>
    <w:rsid w:val="00BE08B1"/>
    <w:pPr>
      <w:keepNext w:val="0"/>
      <w:keepLines/>
      <w:numPr>
        <w:ilvl w:val="2"/>
        <w:numId w:val="3"/>
      </w:numPr>
      <w:spacing w:after="60"/>
      <w:outlineLvl w:val="2"/>
    </w:pPr>
    <w:rPr>
      <w:rFonts w:cs="Arial"/>
      <w:i/>
      <w:sz w:val="24"/>
      <w:szCs w:val="24"/>
    </w:rPr>
  </w:style>
  <w:style w:type="paragraph" w:styleId="Nadpis4">
    <w:name w:val="heading 4"/>
    <w:basedOn w:val="Normln"/>
    <w:next w:val="Normln"/>
    <w:qFormat/>
    <w:rsid w:val="00B926D5"/>
    <w:pPr>
      <w:numPr>
        <w:ilvl w:val="3"/>
        <w:numId w:val="1"/>
      </w:numPr>
      <w:spacing w:before="240" w:after="60"/>
      <w:outlineLvl w:val="3"/>
    </w:pPr>
    <w:rPr>
      <w:b/>
    </w:rPr>
  </w:style>
  <w:style w:type="paragraph" w:styleId="Nadpis5">
    <w:name w:val="heading 5"/>
    <w:basedOn w:val="Normln"/>
    <w:next w:val="Normln"/>
    <w:qFormat/>
    <w:rsid w:val="00B926D5"/>
    <w:pPr>
      <w:numPr>
        <w:ilvl w:val="4"/>
        <w:numId w:val="1"/>
      </w:numPr>
      <w:spacing w:before="240" w:after="60"/>
      <w:outlineLvl w:val="4"/>
    </w:pPr>
  </w:style>
  <w:style w:type="paragraph" w:styleId="Nadpis6">
    <w:name w:val="heading 6"/>
    <w:basedOn w:val="Normln"/>
    <w:next w:val="Normln"/>
    <w:qFormat/>
    <w:rsid w:val="00B926D5"/>
    <w:pPr>
      <w:numPr>
        <w:ilvl w:val="5"/>
        <w:numId w:val="1"/>
      </w:numPr>
      <w:spacing w:before="240" w:after="60"/>
      <w:outlineLvl w:val="5"/>
    </w:pPr>
    <w:rPr>
      <w:i/>
    </w:rPr>
  </w:style>
  <w:style w:type="paragraph" w:styleId="Nadpis7">
    <w:name w:val="heading 7"/>
    <w:basedOn w:val="Normln"/>
    <w:next w:val="Normln"/>
    <w:qFormat/>
    <w:rsid w:val="00B926D5"/>
    <w:pPr>
      <w:numPr>
        <w:ilvl w:val="6"/>
        <w:numId w:val="1"/>
      </w:numPr>
      <w:spacing w:before="240" w:after="60"/>
      <w:outlineLvl w:val="6"/>
    </w:pPr>
    <w:rPr>
      <w:i/>
    </w:rPr>
  </w:style>
  <w:style w:type="paragraph" w:styleId="Nadpis8">
    <w:name w:val="heading 8"/>
    <w:basedOn w:val="Nadpis9"/>
    <w:next w:val="Normln"/>
    <w:qFormat/>
    <w:rsid w:val="00B926D5"/>
    <w:pPr>
      <w:outlineLvl w:val="7"/>
    </w:pPr>
    <w:rPr>
      <w:i/>
      <w:sz w:val="20"/>
    </w:rPr>
  </w:style>
  <w:style w:type="paragraph" w:styleId="Nadpis9">
    <w:name w:val="heading 9"/>
    <w:basedOn w:val="Normln"/>
    <w:next w:val="Normln"/>
    <w:qFormat/>
    <w:rsid w:val="00B926D5"/>
    <w:p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926D5"/>
    <w:pPr>
      <w:spacing w:before="240" w:after="60"/>
      <w:jc w:val="center"/>
      <w:outlineLvl w:val="0"/>
    </w:pPr>
    <w:rPr>
      <w:b/>
      <w:caps/>
      <w:shadow/>
      <w:kern w:val="28"/>
      <w:sz w:val="32"/>
    </w:rPr>
  </w:style>
  <w:style w:type="paragraph" w:customStyle="1" w:styleId="Nzev2">
    <w:name w:val="Název 2"/>
    <w:basedOn w:val="Nzev"/>
    <w:next w:val="Normln"/>
    <w:autoRedefine/>
    <w:rsid w:val="00D22D30"/>
    <w:pPr>
      <w:keepNext w:val="0"/>
      <w:tabs>
        <w:tab w:val="left" w:pos="709"/>
        <w:tab w:val="left" w:leader="dot" w:pos="9072"/>
      </w:tabs>
    </w:pPr>
    <w:rPr>
      <w:shadow w:val="0"/>
      <w:sz w:val="20"/>
    </w:rPr>
  </w:style>
  <w:style w:type="character" w:styleId="slostrnky">
    <w:name w:val="page number"/>
    <w:basedOn w:val="Standardnpsmoodstavce"/>
    <w:rsid w:val="00B926D5"/>
    <w:rPr>
      <w:rFonts w:ascii="Arial" w:hAnsi="Arial"/>
      <w:color w:val="auto"/>
      <w:sz w:val="20"/>
      <w:u w:val="none"/>
      <w:effect w:val="none"/>
    </w:rPr>
  </w:style>
  <w:style w:type="paragraph" w:styleId="Hlavikaobsahu">
    <w:name w:val="toa heading"/>
    <w:basedOn w:val="Normln"/>
    <w:next w:val="Normln"/>
    <w:semiHidden/>
    <w:rsid w:val="00B926D5"/>
    <w:pPr>
      <w:spacing w:before="120"/>
    </w:pPr>
    <w:rPr>
      <w:b/>
      <w:sz w:val="24"/>
    </w:rPr>
  </w:style>
  <w:style w:type="paragraph" w:styleId="Titulek">
    <w:name w:val="caption"/>
    <w:basedOn w:val="Normln"/>
    <w:next w:val="Normln"/>
    <w:qFormat/>
    <w:rsid w:val="00B926D5"/>
    <w:pPr>
      <w:spacing w:before="120" w:after="120"/>
    </w:pPr>
    <w:rPr>
      <w:b/>
    </w:rPr>
  </w:style>
  <w:style w:type="paragraph" w:styleId="Zpat">
    <w:name w:val="footer"/>
    <w:basedOn w:val="Normln"/>
    <w:link w:val="ZpatChar"/>
    <w:uiPriority w:val="99"/>
    <w:rsid w:val="00B926D5"/>
    <w:pPr>
      <w:tabs>
        <w:tab w:val="center" w:pos="4536"/>
        <w:tab w:val="right" w:pos="9072"/>
      </w:tabs>
    </w:pPr>
  </w:style>
  <w:style w:type="paragraph" w:styleId="Zkladntextodsazen">
    <w:name w:val="Body Text Indent"/>
    <w:basedOn w:val="Normln"/>
    <w:rsid w:val="00B926D5"/>
    <w:pPr>
      <w:ind w:left="5103" w:hanging="1563"/>
    </w:pPr>
  </w:style>
  <w:style w:type="paragraph" w:styleId="Obsah1">
    <w:name w:val="toc 1"/>
    <w:basedOn w:val="Normln"/>
    <w:next w:val="Normln"/>
    <w:autoRedefine/>
    <w:uiPriority w:val="39"/>
    <w:rsid w:val="001D2D55"/>
    <w:pPr>
      <w:tabs>
        <w:tab w:val="left" w:pos="600"/>
        <w:tab w:val="right" w:leader="dot" w:pos="9344"/>
      </w:tabs>
      <w:spacing w:before="120" w:after="120"/>
    </w:pPr>
    <w:rPr>
      <w:b/>
      <w:caps/>
      <w:noProof/>
    </w:rPr>
  </w:style>
  <w:style w:type="paragraph" w:styleId="Obsah2">
    <w:name w:val="toc 2"/>
    <w:basedOn w:val="Normln"/>
    <w:next w:val="Normln"/>
    <w:autoRedefine/>
    <w:uiPriority w:val="39"/>
    <w:rsid w:val="00B926D5"/>
    <w:pPr>
      <w:tabs>
        <w:tab w:val="left" w:pos="800"/>
        <w:tab w:val="right" w:leader="dot" w:pos="9346"/>
      </w:tabs>
    </w:pPr>
    <w:rPr>
      <w:noProof/>
      <w:szCs w:val="24"/>
    </w:rPr>
  </w:style>
  <w:style w:type="paragraph" w:styleId="Obsah3">
    <w:name w:val="toc 3"/>
    <w:basedOn w:val="Normln"/>
    <w:next w:val="Normln"/>
    <w:autoRedefine/>
    <w:uiPriority w:val="39"/>
    <w:rsid w:val="00B926D5"/>
    <w:pPr>
      <w:tabs>
        <w:tab w:val="left" w:pos="851"/>
        <w:tab w:val="right" w:leader="dot" w:pos="9346"/>
      </w:tabs>
    </w:pPr>
    <w:rPr>
      <w:noProof/>
      <w:szCs w:val="24"/>
    </w:rPr>
  </w:style>
  <w:style w:type="paragraph" w:styleId="Obsah4">
    <w:name w:val="toc 4"/>
    <w:basedOn w:val="Normln"/>
    <w:next w:val="Normln"/>
    <w:autoRedefine/>
    <w:semiHidden/>
    <w:rsid w:val="00B926D5"/>
    <w:pPr>
      <w:ind w:left="600"/>
    </w:pPr>
  </w:style>
  <w:style w:type="paragraph" w:styleId="Obsah5">
    <w:name w:val="toc 5"/>
    <w:basedOn w:val="Normln"/>
    <w:next w:val="Normln"/>
    <w:autoRedefine/>
    <w:semiHidden/>
    <w:rsid w:val="00B926D5"/>
    <w:pPr>
      <w:ind w:left="800"/>
    </w:pPr>
  </w:style>
  <w:style w:type="paragraph" w:styleId="Obsah6">
    <w:name w:val="toc 6"/>
    <w:basedOn w:val="Normln"/>
    <w:next w:val="Normln"/>
    <w:autoRedefine/>
    <w:semiHidden/>
    <w:rsid w:val="00B926D5"/>
    <w:pPr>
      <w:ind w:left="1000"/>
    </w:pPr>
  </w:style>
  <w:style w:type="paragraph" w:styleId="Obsah7">
    <w:name w:val="toc 7"/>
    <w:basedOn w:val="Normln"/>
    <w:next w:val="Normln"/>
    <w:autoRedefine/>
    <w:semiHidden/>
    <w:rsid w:val="00B926D5"/>
    <w:pPr>
      <w:ind w:left="1200"/>
    </w:pPr>
  </w:style>
  <w:style w:type="paragraph" w:styleId="Obsah8">
    <w:name w:val="toc 8"/>
    <w:basedOn w:val="Normln"/>
    <w:next w:val="Normln"/>
    <w:autoRedefine/>
    <w:semiHidden/>
    <w:rsid w:val="00B926D5"/>
    <w:pPr>
      <w:ind w:left="1400"/>
    </w:pPr>
  </w:style>
  <w:style w:type="paragraph" w:styleId="Obsah9">
    <w:name w:val="toc 9"/>
    <w:basedOn w:val="Normln"/>
    <w:next w:val="Normln"/>
    <w:autoRedefine/>
    <w:semiHidden/>
    <w:rsid w:val="00B926D5"/>
    <w:pPr>
      <w:ind w:left="1600"/>
    </w:pPr>
  </w:style>
  <w:style w:type="paragraph" w:styleId="Zkladntext2">
    <w:name w:val="Body Text 2"/>
    <w:basedOn w:val="Normln"/>
    <w:rsid w:val="00B926D5"/>
    <w:rPr>
      <w:color w:val="FF0000"/>
    </w:rPr>
  </w:style>
  <w:style w:type="paragraph" w:customStyle="1" w:styleId="Vstrahy">
    <w:name w:val="Výstrahy"/>
    <w:autoRedefine/>
    <w:rsid w:val="00DC4D5D"/>
    <w:pPr>
      <w:spacing w:before="60" w:after="60"/>
    </w:pPr>
    <w:rPr>
      <w:rFonts w:ascii="Arial" w:hAnsi="Arial" w:cs="Arial"/>
      <w:b/>
      <w:sz w:val="22"/>
      <w:szCs w:val="22"/>
    </w:rPr>
  </w:style>
  <w:style w:type="paragraph" w:customStyle="1" w:styleId="Aktuln">
    <w:name w:val="Aktuální"/>
    <w:rsid w:val="00B926D5"/>
    <w:pPr>
      <w:keepNext/>
      <w:keepLines/>
      <w:jc w:val="right"/>
    </w:pPr>
    <w:rPr>
      <w:rFonts w:ascii="Arial" w:hAnsi="Arial"/>
    </w:rPr>
  </w:style>
  <w:style w:type="paragraph" w:styleId="Rozloendokumentu">
    <w:name w:val="Document Map"/>
    <w:basedOn w:val="Normln"/>
    <w:semiHidden/>
    <w:rsid w:val="00B926D5"/>
    <w:pPr>
      <w:shd w:val="clear" w:color="auto" w:fill="000080"/>
    </w:pPr>
    <w:rPr>
      <w:rFonts w:ascii="Tahoma" w:hAnsi="Tahoma"/>
    </w:rPr>
  </w:style>
  <w:style w:type="paragraph" w:customStyle="1" w:styleId="odraen12">
    <w:name w:val="odražený 12"/>
    <w:basedOn w:val="Normln"/>
    <w:rsid w:val="00AB3953"/>
    <w:pPr>
      <w:numPr>
        <w:numId w:val="5"/>
      </w:numPr>
      <w:spacing w:before="60"/>
    </w:pPr>
  </w:style>
  <w:style w:type="paragraph" w:styleId="Zkladntext">
    <w:name w:val="Body Text"/>
    <w:basedOn w:val="Normln"/>
    <w:rsid w:val="00B926D5"/>
    <w:pPr>
      <w:outlineLvl w:val="0"/>
    </w:pPr>
    <w:rPr>
      <w:b/>
      <w:bCs/>
    </w:rPr>
  </w:style>
  <w:style w:type="paragraph" w:styleId="Zkladntextodsazen2">
    <w:name w:val="Body Text Indent 2"/>
    <w:basedOn w:val="Normln"/>
    <w:rsid w:val="00B926D5"/>
    <w:pPr>
      <w:ind w:left="142" w:hanging="142"/>
    </w:pPr>
  </w:style>
  <w:style w:type="paragraph" w:styleId="Zkladntext3">
    <w:name w:val="Body Text 3"/>
    <w:basedOn w:val="Normln"/>
    <w:rsid w:val="00B926D5"/>
    <w:rPr>
      <w:color w:val="3366FF"/>
    </w:rPr>
  </w:style>
  <w:style w:type="paragraph" w:styleId="Zkladntextodsazen3">
    <w:name w:val="Body Text Indent 3"/>
    <w:basedOn w:val="Normln"/>
    <w:rsid w:val="00B926D5"/>
    <w:pPr>
      <w:ind w:left="1843" w:hanging="1843"/>
    </w:pPr>
  </w:style>
  <w:style w:type="paragraph" w:customStyle="1" w:styleId="Bezpenostnpokynodraen">
    <w:name w:val="Bezpečnostní pokyn odražený"/>
    <w:basedOn w:val="Normln"/>
    <w:rsid w:val="00B926D5"/>
    <w:pPr>
      <w:numPr>
        <w:numId w:val="6"/>
      </w:numPr>
    </w:pPr>
  </w:style>
  <w:style w:type="paragraph" w:styleId="Textbubliny">
    <w:name w:val="Balloon Text"/>
    <w:basedOn w:val="Normln"/>
    <w:semiHidden/>
    <w:rsid w:val="00B926D5"/>
    <w:rPr>
      <w:rFonts w:ascii="Tahoma" w:hAnsi="Tahoma" w:cs="Tahoma"/>
      <w:sz w:val="16"/>
      <w:szCs w:val="16"/>
    </w:rPr>
  </w:style>
  <w:style w:type="character" w:styleId="Hypertextovodkaz">
    <w:name w:val="Hyperlink"/>
    <w:basedOn w:val="Standardnpsmoodstavce"/>
    <w:rsid w:val="00673F05"/>
    <w:rPr>
      <w:color w:val="0000FF"/>
      <w:u w:val="single"/>
    </w:rPr>
  </w:style>
  <w:style w:type="paragraph" w:styleId="Zhlav">
    <w:name w:val="header"/>
    <w:basedOn w:val="Normln"/>
    <w:link w:val="ZhlavChar"/>
    <w:rsid w:val="009D5E27"/>
    <w:pPr>
      <w:tabs>
        <w:tab w:val="center" w:pos="4536"/>
        <w:tab w:val="right" w:pos="9072"/>
      </w:tabs>
    </w:pPr>
  </w:style>
  <w:style w:type="character" w:styleId="Sledovanodkaz">
    <w:name w:val="FollowedHyperlink"/>
    <w:basedOn w:val="Standardnpsmoodstavce"/>
    <w:rsid w:val="00013408"/>
    <w:rPr>
      <w:color w:val="800080"/>
      <w:u w:val="single"/>
    </w:rPr>
  </w:style>
  <w:style w:type="paragraph" w:styleId="Bezmezer">
    <w:name w:val="No Spacing"/>
    <w:link w:val="BezmezerChar"/>
    <w:uiPriority w:val="1"/>
    <w:qFormat/>
    <w:rsid w:val="001B0142"/>
    <w:rPr>
      <w:rFonts w:ascii="Calibri" w:hAnsi="Calibri"/>
      <w:sz w:val="22"/>
      <w:szCs w:val="22"/>
    </w:rPr>
  </w:style>
  <w:style w:type="character" w:customStyle="1" w:styleId="BezmezerChar">
    <w:name w:val="Bez mezer Char"/>
    <w:basedOn w:val="Standardnpsmoodstavce"/>
    <w:link w:val="Bezmezer"/>
    <w:uiPriority w:val="1"/>
    <w:rsid w:val="001B0142"/>
    <w:rPr>
      <w:rFonts w:ascii="Calibri" w:hAnsi="Calibri"/>
      <w:sz w:val="22"/>
      <w:szCs w:val="22"/>
      <w:lang w:val="cs-CZ" w:eastAsia="cs-CZ" w:bidi="ar-SA"/>
    </w:rPr>
  </w:style>
  <w:style w:type="character" w:customStyle="1" w:styleId="ZhlavChar">
    <w:name w:val="Záhlaví Char"/>
    <w:basedOn w:val="Standardnpsmoodstavce"/>
    <w:link w:val="Zhlav"/>
    <w:uiPriority w:val="99"/>
    <w:rsid w:val="001B0142"/>
    <w:rPr>
      <w:rFonts w:ascii="Arial" w:hAnsi="Arial"/>
      <w:sz w:val="22"/>
    </w:rPr>
  </w:style>
  <w:style w:type="character" w:customStyle="1" w:styleId="ZpatChar">
    <w:name w:val="Zápatí Char"/>
    <w:basedOn w:val="Standardnpsmoodstavce"/>
    <w:link w:val="Zpat"/>
    <w:uiPriority w:val="99"/>
    <w:rsid w:val="001B014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259">
      <w:bodyDiv w:val="1"/>
      <w:marLeft w:val="0"/>
      <w:marRight w:val="0"/>
      <w:marTop w:val="0"/>
      <w:marBottom w:val="0"/>
      <w:divBdr>
        <w:top w:val="none" w:sz="0" w:space="0" w:color="auto"/>
        <w:left w:val="none" w:sz="0" w:space="0" w:color="auto"/>
        <w:bottom w:val="none" w:sz="0" w:space="0" w:color="auto"/>
        <w:right w:val="none" w:sz="0" w:space="0" w:color="auto"/>
      </w:divBdr>
      <w:divsChild>
        <w:div w:id="506595956">
          <w:marLeft w:val="0"/>
          <w:marRight w:val="0"/>
          <w:marTop w:val="0"/>
          <w:marBottom w:val="0"/>
          <w:divBdr>
            <w:top w:val="none" w:sz="0" w:space="0" w:color="auto"/>
            <w:left w:val="none" w:sz="0" w:space="0" w:color="auto"/>
            <w:bottom w:val="none" w:sz="0" w:space="0" w:color="auto"/>
            <w:right w:val="none" w:sz="0" w:space="0" w:color="auto"/>
          </w:divBdr>
        </w:div>
      </w:divsChild>
    </w:div>
    <w:div w:id="741872095">
      <w:bodyDiv w:val="1"/>
      <w:marLeft w:val="0"/>
      <w:marRight w:val="0"/>
      <w:marTop w:val="0"/>
      <w:marBottom w:val="0"/>
      <w:divBdr>
        <w:top w:val="none" w:sz="0" w:space="0" w:color="auto"/>
        <w:left w:val="none" w:sz="0" w:space="0" w:color="auto"/>
        <w:bottom w:val="none" w:sz="0" w:space="0" w:color="auto"/>
        <w:right w:val="none" w:sz="0" w:space="0" w:color="auto"/>
      </w:divBdr>
    </w:div>
    <w:div w:id="761992314">
      <w:bodyDiv w:val="1"/>
      <w:marLeft w:val="0"/>
      <w:marRight w:val="0"/>
      <w:marTop w:val="0"/>
      <w:marBottom w:val="0"/>
      <w:divBdr>
        <w:top w:val="none" w:sz="0" w:space="0" w:color="auto"/>
        <w:left w:val="none" w:sz="0" w:space="0" w:color="auto"/>
        <w:bottom w:val="none" w:sz="0" w:space="0" w:color="auto"/>
        <w:right w:val="none" w:sz="0" w:space="0" w:color="auto"/>
      </w:divBdr>
    </w:div>
    <w:div w:id="1019744665">
      <w:bodyDiv w:val="1"/>
      <w:marLeft w:val="0"/>
      <w:marRight w:val="0"/>
      <w:marTop w:val="0"/>
      <w:marBottom w:val="0"/>
      <w:divBdr>
        <w:top w:val="none" w:sz="0" w:space="0" w:color="auto"/>
        <w:left w:val="none" w:sz="0" w:space="0" w:color="auto"/>
        <w:bottom w:val="none" w:sz="0" w:space="0" w:color="auto"/>
        <w:right w:val="none" w:sz="0" w:space="0" w:color="auto"/>
      </w:divBdr>
    </w:div>
    <w:div w:id="1805544256">
      <w:bodyDiv w:val="1"/>
      <w:marLeft w:val="0"/>
      <w:marRight w:val="0"/>
      <w:marTop w:val="0"/>
      <w:marBottom w:val="0"/>
      <w:divBdr>
        <w:top w:val="none" w:sz="0" w:space="0" w:color="auto"/>
        <w:left w:val="none" w:sz="0" w:space="0" w:color="auto"/>
        <w:bottom w:val="none" w:sz="0" w:space="0" w:color="auto"/>
        <w:right w:val="none" w:sz="0" w:space="0" w:color="auto"/>
      </w:divBdr>
    </w:div>
    <w:div w:id="1889105371">
      <w:bodyDiv w:val="1"/>
      <w:marLeft w:val="0"/>
      <w:marRight w:val="0"/>
      <w:marTop w:val="0"/>
      <w:marBottom w:val="0"/>
      <w:divBdr>
        <w:top w:val="none" w:sz="0" w:space="0" w:color="auto"/>
        <w:left w:val="none" w:sz="0" w:space="0" w:color="auto"/>
        <w:bottom w:val="none" w:sz="0" w:space="0" w:color="auto"/>
        <w:right w:val="none" w:sz="0" w:space="0" w:color="auto"/>
      </w:divBdr>
      <w:divsChild>
        <w:div w:id="1031491342">
          <w:marLeft w:val="0"/>
          <w:marRight w:val="0"/>
          <w:marTop w:val="0"/>
          <w:marBottom w:val="0"/>
          <w:divBdr>
            <w:top w:val="none" w:sz="0" w:space="0" w:color="auto"/>
            <w:left w:val="none" w:sz="0" w:space="0" w:color="auto"/>
            <w:bottom w:val="none" w:sz="0" w:space="0" w:color="auto"/>
            <w:right w:val="none" w:sz="0" w:space="0" w:color="auto"/>
          </w:divBdr>
          <w:divsChild>
            <w:div w:id="381058996">
              <w:marLeft w:val="0"/>
              <w:marRight w:val="0"/>
              <w:marTop w:val="0"/>
              <w:marBottom w:val="0"/>
              <w:divBdr>
                <w:top w:val="none" w:sz="0" w:space="0" w:color="auto"/>
                <w:left w:val="none" w:sz="0" w:space="0" w:color="auto"/>
                <w:bottom w:val="none" w:sz="0" w:space="0" w:color="auto"/>
                <w:right w:val="none" w:sz="0" w:space="0" w:color="auto"/>
              </w:divBdr>
            </w:div>
            <w:div w:id="413091580">
              <w:marLeft w:val="0"/>
              <w:marRight w:val="0"/>
              <w:marTop w:val="0"/>
              <w:marBottom w:val="0"/>
              <w:divBdr>
                <w:top w:val="none" w:sz="0" w:space="0" w:color="auto"/>
                <w:left w:val="none" w:sz="0" w:space="0" w:color="auto"/>
                <w:bottom w:val="none" w:sz="0" w:space="0" w:color="auto"/>
                <w:right w:val="none" w:sz="0" w:space="0" w:color="auto"/>
              </w:divBdr>
            </w:div>
            <w:div w:id="515969070">
              <w:marLeft w:val="0"/>
              <w:marRight w:val="0"/>
              <w:marTop w:val="0"/>
              <w:marBottom w:val="0"/>
              <w:divBdr>
                <w:top w:val="none" w:sz="0" w:space="0" w:color="auto"/>
                <w:left w:val="none" w:sz="0" w:space="0" w:color="auto"/>
                <w:bottom w:val="none" w:sz="0" w:space="0" w:color="auto"/>
                <w:right w:val="none" w:sz="0" w:space="0" w:color="auto"/>
              </w:divBdr>
            </w:div>
            <w:div w:id="755789583">
              <w:marLeft w:val="0"/>
              <w:marRight w:val="0"/>
              <w:marTop w:val="0"/>
              <w:marBottom w:val="0"/>
              <w:divBdr>
                <w:top w:val="none" w:sz="0" w:space="0" w:color="auto"/>
                <w:left w:val="none" w:sz="0" w:space="0" w:color="auto"/>
                <w:bottom w:val="none" w:sz="0" w:space="0" w:color="auto"/>
                <w:right w:val="none" w:sz="0" w:space="0" w:color="auto"/>
              </w:divBdr>
            </w:div>
            <w:div w:id="920990839">
              <w:marLeft w:val="0"/>
              <w:marRight w:val="0"/>
              <w:marTop w:val="0"/>
              <w:marBottom w:val="0"/>
              <w:divBdr>
                <w:top w:val="none" w:sz="0" w:space="0" w:color="auto"/>
                <w:left w:val="none" w:sz="0" w:space="0" w:color="auto"/>
                <w:bottom w:val="none" w:sz="0" w:space="0" w:color="auto"/>
                <w:right w:val="none" w:sz="0" w:space="0" w:color="auto"/>
              </w:divBdr>
            </w:div>
            <w:div w:id="960452825">
              <w:marLeft w:val="0"/>
              <w:marRight w:val="0"/>
              <w:marTop w:val="0"/>
              <w:marBottom w:val="0"/>
              <w:divBdr>
                <w:top w:val="none" w:sz="0" w:space="0" w:color="auto"/>
                <w:left w:val="none" w:sz="0" w:space="0" w:color="auto"/>
                <w:bottom w:val="none" w:sz="0" w:space="0" w:color="auto"/>
                <w:right w:val="none" w:sz="0" w:space="0" w:color="auto"/>
              </w:divBdr>
            </w:div>
            <w:div w:id="1057244172">
              <w:marLeft w:val="0"/>
              <w:marRight w:val="0"/>
              <w:marTop w:val="0"/>
              <w:marBottom w:val="0"/>
              <w:divBdr>
                <w:top w:val="none" w:sz="0" w:space="0" w:color="auto"/>
                <w:left w:val="none" w:sz="0" w:space="0" w:color="auto"/>
                <w:bottom w:val="none" w:sz="0" w:space="0" w:color="auto"/>
                <w:right w:val="none" w:sz="0" w:space="0" w:color="auto"/>
              </w:divBdr>
            </w:div>
            <w:div w:id="1094782057">
              <w:marLeft w:val="0"/>
              <w:marRight w:val="0"/>
              <w:marTop w:val="0"/>
              <w:marBottom w:val="0"/>
              <w:divBdr>
                <w:top w:val="none" w:sz="0" w:space="0" w:color="auto"/>
                <w:left w:val="none" w:sz="0" w:space="0" w:color="auto"/>
                <w:bottom w:val="none" w:sz="0" w:space="0" w:color="auto"/>
                <w:right w:val="none" w:sz="0" w:space="0" w:color="auto"/>
              </w:divBdr>
            </w:div>
            <w:div w:id="1094978865">
              <w:marLeft w:val="0"/>
              <w:marRight w:val="0"/>
              <w:marTop w:val="0"/>
              <w:marBottom w:val="0"/>
              <w:divBdr>
                <w:top w:val="none" w:sz="0" w:space="0" w:color="auto"/>
                <w:left w:val="none" w:sz="0" w:space="0" w:color="auto"/>
                <w:bottom w:val="none" w:sz="0" w:space="0" w:color="auto"/>
                <w:right w:val="none" w:sz="0" w:space="0" w:color="auto"/>
              </w:divBdr>
            </w:div>
            <w:div w:id="1441603520">
              <w:marLeft w:val="0"/>
              <w:marRight w:val="0"/>
              <w:marTop w:val="0"/>
              <w:marBottom w:val="0"/>
              <w:divBdr>
                <w:top w:val="none" w:sz="0" w:space="0" w:color="auto"/>
                <w:left w:val="none" w:sz="0" w:space="0" w:color="auto"/>
                <w:bottom w:val="none" w:sz="0" w:space="0" w:color="auto"/>
                <w:right w:val="none" w:sz="0" w:space="0" w:color="auto"/>
              </w:divBdr>
            </w:div>
            <w:div w:id="1491678353">
              <w:marLeft w:val="0"/>
              <w:marRight w:val="0"/>
              <w:marTop w:val="0"/>
              <w:marBottom w:val="0"/>
              <w:divBdr>
                <w:top w:val="none" w:sz="0" w:space="0" w:color="auto"/>
                <w:left w:val="none" w:sz="0" w:space="0" w:color="auto"/>
                <w:bottom w:val="none" w:sz="0" w:space="0" w:color="auto"/>
                <w:right w:val="none" w:sz="0" w:space="0" w:color="auto"/>
              </w:divBdr>
            </w:div>
            <w:div w:id="17460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1D8B-23B1-40C1-9C10-A93BF032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547</Words>
  <Characters>3231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ASIO, spol s r.o.</dc:creator>
  <cp:lastModifiedBy>Michal Ploteny</cp:lastModifiedBy>
  <cp:revision>4</cp:revision>
  <cp:lastPrinted>2013-04-02T12:21:00Z</cp:lastPrinted>
  <dcterms:created xsi:type="dcterms:W3CDTF">2014-07-30T11:09:00Z</dcterms:created>
  <dcterms:modified xsi:type="dcterms:W3CDTF">2014-11-01T07:30:00Z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41064809</vt:i4>
  </property>
  <property fmtid="{D5CDD505-2E9C-101B-9397-08002B2CF9AE}" pid="3" name="_EmailSubject">
    <vt:lpwstr>PIP_SOK.doc</vt:lpwstr>
  </property>
  <property fmtid="{D5CDD505-2E9C-101B-9397-08002B2CF9AE}" pid="4" name="_AuthorEmail">
    <vt:lpwstr>uher@asio.cz</vt:lpwstr>
  </property>
  <property fmtid="{D5CDD505-2E9C-101B-9397-08002B2CF9AE}" pid="5" name="_AuthorEmailDisplayName">
    <vt:lpwstr>Milan Uher, ASIO, spol. s r.o.</vt:lpwstr>
  </property>
  <property fmtid="{D5CDD505-2E9C-101B-9397-08002B2CF9AE}" pid="6" name="_ReviewingToolsShownOnce">
    <vt:lpwstr/>
  </property>
</Properties>
</file>