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FE" w:rsidRDefault="00994E08" w:rsidP="00C165FE">
      <w:pPr>
        <w:pStyle w:val="Zhlav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TECHNICKÁ</w:t>
      </w:r>
      <w:r w:rsidR="000E0DD1">
        <w:rPr>
          <w:b/>
          <w:sz w:val="36"/>
          <w:szCs w:val="36"/>
        </w:rPr>
        <w:t xml:space="preserve"> </w:t>
      </w:r>
      <w:r w:rsidR="00C165FE">
        <w:rPr>
          <w:b/>
          <w:sz w:val="36"/>
          <w:szCs w:val="36"/>
        </w:rPr>
        <w:t>SPECIFIKACE</w:t>
      </w:r>
    </w:p>
    <w:p w:rsidR="00C165FE" w:rsidRPr="00994E08" w:rsidRDefault="00994E08" w:rsidP="00C165FE">
      <w:pPr>
        <w:pStyle w:val="Zhlav"/>
        <w:jc w:val="center"/>
        <w:rPr>
          <w:sz w:val="24"/>
          <w:szCs w:val="24"/>
        </w:rPr>
      </w:pPr>
      <w:r>
        <w:rPr>
          <w:sz w:val="24"/>
          <w:szCs w:val="24"/>
        </w:rPr>
        <w:t>dle</w:t>
      </w:r>
      <w:r w:rsidR="00C165FE" w:rsidRPr="00994E08">
        <w:rPr>
          <w:sz w:val="24"/>
          <w:szCs w:val="24"/>
        </w:rPr>
        <w:t xml:space="preserve"> zákona č. 40/2004, Sb. ve znění </w:t>
      </w:r>
      <w:proofErr w:type="spellStart"/>
      <w:r w:rsidR="00C165FE" w:rsidRPr="00994E08">
        <w:rPr>
          <w:sz w:val="24"/>
          <w:szCs w:val="24"/>
        </w:rPr>
        <w:t>Vyhl</w:t>
      </w:r>
      <w:proofErr w:type="spellEnd"/>
      <w:r w:rsidR="00C165FE" w:rsidRPr="00994E08">
        <w:rPr>
          <w:sz w:val="24"/>
          <w:szCs w:val="24"/>
        </w:rPr>
        <w:t>. č. 239/2004 Sb.</w:t>
      </w:r>
    </w:p>
    <w:p w:rsidR="00994E08" w:rsidRDefault="00994E08" w:rsidP="00C165FE">
      <w:pPr>
        <w:ind w:left="1416"/>
        <w:rPr>
          <w:b/>
        </w:rPr>
      </w:pPr>
    </w:p>
    <w:p w:rsidR="00994E08" w:rsidRPr="000F6FDD" w:rsidRDefault="00994E08" w:rsidP="00994E08">
      <w:pPr>
        <w:pStyle w:val="Zhlav"/>
        <w:jc w:val="center"/>
        <w:rPr>
          <w:i/>
          <w:sz w:val="32"/>
          <w:szCs w:val="32"/>
        </w:rPr>
      </w:pPr>
      <w:r w:rsidRPr="000F6FDD">
        <w:rPr>
          <w:i/>
          <w:sz w:val="32"/>
          <w:szCs w:val="32"/>
        </w:rPr>
        <w:t>Technický list</w:t>
      </w:r>
    </w:p>
    <w:p w:rsidR="00994E08" w:rsidRPr="008A6614" w:rsidRDefault="00994E08" w:rsidP="00994E08">
      <w:pPr>
        <w:pStyle w:val="Zhlav"/>
        <w:jc w:val="center"/>
        <w:rPr>
          <w:b/>
        </w:rPr>
      </w:pPr>
    </w:p>
    <w:p w:rsidR="00994E08" w:rsidRDefault="00994E08" w:rsidP="00994E08">
      <w:pPr>
        <w:spacing w:after="120"/>
        <w:ind w:left="1418" w:hanging="1418"/>
        <w:jc w:val="left"/>
        <w:rPr>
          <w:b/>
        </w:rPr>
      </w:pPr>
      <w:r w:rsidRPr="007B6338">
        <w:rPr>
          <w:b/>
        </w:rPr>
        <w:t>Konkretizace typu a modifikace výrobku:</w:t>
      </w:r>
    </w:p>
    <w:p w:rsidR="00994E08" w:rsidRDefault="00994E08" w:rsidP="00994E08">
      <w:pPr>
        <w:rPr>
          <w:i/>
          <w:sz w:val="18"/>
          <w:szCs w:val="18"/>
        </w:rPr>
      </w:pPr>
      <w:r w:rsidRPr="00994E08">
        <w:rPr>
          <w:i/>
          <w:sz w:val="18"/>
          <w:szCs w:val="18"/>
        </w:rPr>
        <w:t>Válcová</w:t>
      </w:r>
      <w:r w:rsidR="00C05993">
        <w:rPr>
          <w:i/>
          <w:sz w:val="18"/>
          <w:szCs w:val="18"/>
        </w:rPr>
        <w:t>,</w:t>
      </w:r>
      <w:r w:rsidRPr="00994E08">
        <w:rPr>
          <w:i/>
          <w:sz w:val="18"/>
          <w:szCs w:val="18"/>
        </w:rPr>
        <w:t xml:space="preserve"> samonosná nádrž domovní čistírny odpadních vod</w:t>
      </w:r>
      <w:r w:rsidR="00C05993">
        <w:rPr>
          <w:i/>
          <w:sz w:val="18"/>
          <w:szCs w:val="18"/>
        </w:rPr>
        <w:t>,</w:t>
      </w:r>
      <w:r w:rsidRPr="00994E08">
        <w:rPr>
          <w:i/>
          <w:sz w:val="18"/>
          <w:szCs w:val="18"/>
        </w:rPr>
        <w:t xml:space="preserve"> určená pro osazení do zeleného pásu.</w:t>
      </w:r>
    </w:p>
    <w:p w:rsidR="00C165FE" w:rsidRPr="00994E08" w:rsidRDefault="00994E08" w:rsidP="00994E08">
      <w:pPr>
        <w:spacing w:before="120" w:after="120"/>
        <w:jc w:val="center"/>
        <w:rPr>
          <w:i/>
          <w:sz w:val="18"/>
          <w:szCs w:val="18"/>
        </w:rPr>
      </w:pPr>
      <w:r>
        <w:rPr>
          <w:b/>
          <w:sz w:val="28"/>
          <w:szCs w:val="28"/>
        </w:rPr>
        <w:t>AS-</w:t>
      </w:r>
      <w:r w:rsidR="00751645">
        <w:rPr>
          <w:b/>
          <w:sz w:val="28"/>
          <w:szCs w:val="28"/>
        </w:rPr>
        <w:t>KLARO</w:t>
      </w:r>
      <w:bookmarkStart w:id="0" w:name="_GoBack"/>
      <w:bookmarkEnd w:id="0"/>
      <w:r w:rsidR="00C165FE" w:rsidRPr="00994E08">
        <w:rPr>
          <w:b/>
          <w:sz w:val="28"/>
          <w:szCs w:val="28"/>
        </w:rPr>
        <w:t xml:space="preserve"> PZV</w:t>
      </w:r>
    </w:p>
    <w:p w:rsidR="00994E08" w:rsidRPr="00CC5A16" w:rsidRDefault="00994E08" w:rsidP="002C5949">
      <w:pPr>
        <w:pStyle w:val="Nzev2"/>
        <w:rPr>
          <w:i/>
        </w:rPr>
      </w:pPr>
      <w:r w:rsidRPr="00CC5A16">
        <w:rPr>
          <w:i/>
        </w:rPr>
        <w:t>Normy, předpisy a směrnice</w:t>
      </w:r>
    </w:p>
    <w:p w:rsidR="003F53B0" w:rsidRPr="00CC5A16" w:rsidRDefault="003F53B0" w:rsidP="00994E08">
      <w:pPr>
        <w:ind w:left="708"/>
        <w:rPr>
          <w:i/>
        </w:rPr>
        <w:sectPr w:rsidR="003F53B0" w:rsidRPr="00CC5A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17C" w:rsidRDefault="002B117C" w:rsidP="00BD60C5">
      <w:pPr>
        <w:pStyle w:val="Bezmezer"/>
        <w:spacing w:after="120"/>
        <w:ind w:left="1843" w:hanging="1843"/>
        <w:jc w:val="both"/>
      </w:pPr>
      <w:r w:rsidRPr="00240B14">
        <w:rPr>
          <w:b/>
        </w:rPr>
        <w:lastRenderedPageBreak/>
        <w:t>2011/305/ES</w:t>
      </w:r>
      <w:r>
        <w:t xml:space="preserve"> </w:t>
      </w:r>
      <w:r>
        <w:tab/>
        <w:t>„Nařízení č. 305/2011 Evropského parlamentu a rady ze dne 9. března 2011 ohledně stavebních harmonizovaných podmínek pro označení stavebních výrobků“.</w:t>
      </w:r>
    </w:p>
    <w:p w:rsidR="002B117C" w:rsidRDefault="002B117C" w:rsidP="00BD60C5">
      <w:pPr>
        <w:pStyle w:val="Bezmezer"/>
        <w:spacing w:after="120"/>
        <w:ind w:left="1843" w:hanging="1843"/>
        <w:jc w:val="both"/>
      </w:pPr>
      <w:r w:rsidRPr="00240B14">
        <w:rPr>
          <w:b/>
        </w:rPr>
        <w:t>2006/42/ES</w:t>
      </w:r>
      <w:r>
        <w:t xml:space="preserve"> </w:t>
      </w:r>
      <w:r>
        <w:tab/>
        <w:t>„Směrnice Evropského parlamentu a rady ze dne 17. května 2006 o strojích a strojních zařízení</w:t>
      </w:r>
      <w:r w:rsidR="00C05993">
        <w:t>ch</w:t>
      </w:r>
      <w:r>
        <w:t xml:space="preserve"> ve znění změny směrnice 95/16/ES“</w:t>
      </w:r>
    </w:p>
    <w:p w:rsidR="002B117C" w:rsidRDefault="002B117C" w:rsidP="00BD60C5">
      <w:pPr>
        <w:pStyle w:val="Bezmezer"/>
        <w:spacing w:after="120"/>
        <w:ind w:left="1843" w:hanging="1843"/>
      </w:pPr>
      <w:r w:rsidRPr="00505D6D">
        <w:rPr>
          <w:b/>
        </w:rPr>
        <w:t>2006/95/ES</w:t>
      </w:r>
      <w:r>
        <w:t xml:space="preserve"> </w:t>
      </w:r>
      <w:r>
        <w:tab/>
        <w:t>„Směrnice rady elektrických spotřebičů k použití v rámci určitého napětí.“</w:t>
      </w:r>
    </w:p>
    <w:p w:rsidR="00BD60C5" w:rsidRPr="00BD60C5" w:rsidRDefault="00BD60C5" w:rsidP="00BD60C5">
      <w:pPr>
        <w:pStyle w:val="Bezmezer"/>
        <w:spacing w:after="120"/>
        <w:ind w:left="1843" w:hanging="1843"/>
        <w:jc w:val="both"/>
      </w:pPr>
      <w:r>
        <w:rPr>
          <w:b/>
        </w:rPr>
        <w:t>NV 23/2011</w:t>
      </w:r>
      <w:r>
        <w:rPr>
          <w:b/>
        </w:rPr>
        <w:tab/>
      </w:r>
      <w:r>
        <w:t>Nařízení vlády</w:t>
      </w:r>
      <w:r w:rsidRPr="00BD60C5">
        <w:t xml:space="preserve"> ze dne 22. prosince 2010, kterým se mění nařízení vlády č</w:t>
      </w:r>
      <w:r>
        <w:t>. </w:t>
      </w:r>
      <w:r w:rsidRPr="00BD60C5">
        <w:t>61/2003 Sb., o ukazatelích a hodnotách přípustného znečištění povrchových vod a odpadních vod, náležitostech povolení k vypouštění odpadních vod do vod povrchových a do kanalizací a o citlivých oblastech, ve znění nařízení vlády č</w:t>
      </w:r>
      <w:r>
        <w:t>. </w:t>
      </w:r>
      <w:r w:rsidRPr="00BD60C5">
        <w:t>229/2007 Sb.</w:t>
      </w:r>
    </w:p>
    <w:p w:rsidR="00BD60C5" w:rsidRDefault="00BD60C5" w:rsidP="00BD60C5">
      <w:pPr>
        <w:pStyle w:val="Bezmezer"/>
        <w:ind w:left="1843" w:hanging="1843"/>
        <w:jc w:val="both"/>
      </w:pPr>
      <w:r>
        <w:rPr>
          <w:b/>
        </w:rPr>
        <w:t>NV 416/2010</w:t>
      </w:r>
      <w:r>
        <w:rPr>
          <w:b/>
        </w:rPr>
        <w:tab/>
      </w:r>
      <w:r>
        <w:t>Nařízení vlády</w:t>
      </w:r>
      <w:r w:rsidRPr="00BD60C5">
        <w:t xml:space="preserve"> ze dne 14. prosince 2010 o ukazatelích a hodnotách přípustného znečištění odpadních vod</w:t>
      </w:r>
      <w:r w:rsidR="00C05993">
        <w:t xml:space="preserve"> </w:t>
      </w:r>
      <w:r w:rsidRPr="00BD60C5">
        <w:t>a náležitostech povolení k vypouštění odpadních vod do vod podzemních</w:t>
      </w:r>
    </w:p>
    <w:p w:rsidR="002B117C" w:rsidRDefault="002B117C" w:rsidP="002B117C">
      <w:pPr>
        <w:pStyle w:val="Bezmezer"/>
      </w:pPr>
    </w:p>
    <w:p w:rsidR="002B117C" w:rsidRPr="002B117C" w:rsidRDefault="002B117C" w:rsidP="002B117C">
      <w:pPr>
        <w:pStyle w:val="Bezmezer"/>
        <w:rPr>
          <w:rFonts w:ascii="Arial" w:eastAsia="Times New Roman" w:hAnsi="Arial"/>
          <w:i/>
          <w:sz w:val="20"/>
          <w:szCs w:val="20"/>
          <w:lang w:eastAsia="cs-CZ"/>
        </w:rPr>
      </w:pPr>
      <w:r w:rsidRPr="002B117C">
        <w:rPr>
          <w:rFonts w:ascii="Arial" w:eastAsia="Times New Roman" w:hAnsi="Arial"/>
          <w:i/>
          <w:sz w:val="20"/>
          <w:szCs w:val="20"/>
          <w:lang w:eastAsia="cs-CZ"/>
        </w:rPr>
        <w:t>Byly použity následující harmonizované normy:</w:t>
      </w:r>
    </w:p>
    <w:p w:rsidR="002B117C" w:rsidRDefault="002B117C" w:rsidP="002B117C">
      <w:pPr>
        <w:pStyle w:val="Bezmezer"/>
        <w:spacing w:after="120"/>
        <w:ind w:left="1843" w:hanging="1843"/>
      </w:pPr>
      <w:r w:rsidRPr="00BE7C3A">
        <w:rPr>
          <w:b/>
        </w:rPr>
        <w:t>EN 12566-3</w:t>
      </w:r>
      <w:r>
        <w:tab/>
        <w:t>čistírny do 50 EO Část 3: prefabrikované a/nebo na místě montované zařízení k nakládání s domovními odpadními vodami</w:t>
      </w:r>
    </w:p>
    <w:p w:rsidR="002B117C" w:rsidRDefault="002B117C" w:rsidP="002B117C">
      <w:pPr>
        <w:pStyle w:val="Bezmezer"/>
        <w:spacing w:after="120"/>
        <w:ind w:left="1843" w:hanging="1843"/>
      </w:pPr>
      <w:r w:rsidRPr="00BE7C3A">
        <w:rPr>
          <w:b/>
        </w:rPr>
        <w:t>EN 60204-1</w:t>
      </w:r>
      <w:r>
        <w:t xml:space="preserve">     </w:t>
      </w:r>
      <w:r>
        <w:tab/>
        <w:t>elektrické vystrojení strojů, část 1: všeobecné požadavky</w:t>
      </w:r>
    </w:p>
    <w:p w:rsidR="002B117C" w:rsidRDefault="002B117C" w:rsidP="00182A50">
      <w:pPr>
        <w:pStyle w:val="Bezmezer"/>
        <w:spacing w:after="120"/>
        <w:ind w:left="1843" w:hanging="1843"/>
      </w:pPr>
      <w:r w:rsidRPr="00BE7C3A">
        <w:rPr>
          <w:b/>
        </w:rPr>
        <w:t>EN ISO 13849-1</w:t>
      </w:r>
      <w:r>
        <w:t xml:space="preserve">     </w:t>
      </w:r>
      <w:r>
        <w:tab/>
        <w:t>bezpečnost strojů – bezpečnostní díly řízení – část 1: všeobecné zásady</w:t>
      </w:r>
    </w:p>
    <w:p w:rsidR="002B117C" w:rsidRDefault="002B117C" w:rsidP="002B117C">
      <w:pPr>
        <w:pStyle w:val="Bezmezer"/>
      </w:pPr>
      <w:r>
        <w:t xml:space="preserve">Oznámený subjekt PIA </w:t>
      </w:r>
      <w:proofErr w:type="spellStart"/>
      <w:r>
        <w:t>GmbH</w:t>
      </w:r>
      <w:proofErr w:type="spellEnd"/>
      <w:r>
        <w:t xml:space="preserve"> – </w:t>
      </w:r>
      <w:r w:rsidRPr="00030C67">
        <w:rPr>
          <w:b/>
        </w:rPr>
        <w:t>NB 1739</w:t>
      </w:r>
      <w:r>
        <w:t xml:space="preserve"> – provedl počáteční zkoušku typu účinnosti, vodotěsnosti, statické odolnosti a trvanlivosti.</w:t>
      </w:r>
    </w:p>
    <w:p w:rsidR="00DB518A" w:rsidRDefault="00DB518A" w:rsidP="0098717A">
      <w:pPr>
        <w:keepNext w:val="0"/>
        <w:spacing w:before="120" w:after="60"/>
        <w:jc w:val="left"/>
        <w:rPr>
          <w:b/>
          <w:sz w:val="24"/>
          <w:szCs w:val="24"/>
        </w:rPr>
      </w:pPr>
      <w:r w:rsidRPr="00D27A0A">
        <w:rPr>
          <w:b/>
          <w:sz w:val="24"/>
          <w:szCs w:val="24"/>
        </w:rPr>
        <w:t>Technický standard</w:t>
      </w:r>
    </w:p>
    <w:p w:rsidR="00DB518A" w:rsidRPr="00DB518A" w:rsidRDefault="00DB518A" w:rsidP="002C5949">
      <w:pPr>
        <w:keepNext w:val="0"/>
        <w:rPr>
          <w:b/>
        </w:rPr>
      </w:pPr>
      <w:r w:rsidRPr="00DB518A">
        <w:rPr>
          <w:b/>
        </w:rPr>
        <w:t>Válcová</w:t>
      </w:r>
      <w:r w:rsidR="00C05993">
        <w:rPr>
          <w:b/>
        </w:rPr>
        <w:t>,</w:t>
      </w:r>
      <w:r w:rsidRPr="00DB518A">
        <w:rPr>
          <w:b/>
        </w:rPr>
        <w:t xml:space="preserve"> samonosná nádrž domovní čistírny odpadních vod</w:t>
      </w:r>
      <w:r w:rsidR="00C05993">
        <w:rPr>
          <w:b/>
        </w:rPr>
        <w:t>,</w:t>
      </w:r>
      <w:r w:rsidRPr="00DB518A">
        <w:rPr>
          <w:b/>
        </w:rPr>
        <w:t xml:space="preserve"> určená pro osazení do zeleného pásu.</w:t>
      </w:r>
    </w:p>
    <w:p w:rsidR="002C5949" w:rsidRPr="002C5949" w:rsidRDefault="00C165FE" w:rsidP="002C5949">
      <w:pPr>
        <w:keepNext w:val="0"/>
        <w:spacing w:before="120"/>
        <w:rPr>
          <w:b/>
        </w:rPr>
      </w:pPr>
      <w:r w:rsidRPr="002C5949">
        <w:rPr>
          <w:b/>
        </w:rPr>
        <w:t>Popis</w:t>
      </w:r>
      <w:r w:rsidR="00DB518A" w:rsidRPr="002C5949">
        <w:rPr>
          <w:b/>
        </w:rPr>
        <w:t>:</w:t>
      </w:r>
    </w:p>
    <w:p w:rsidR="00C165FE" w:rsidRDefault="00C165FE" w:rsidP="002C5949">
      <w:pPr>
        <w:keepNext w:val="0"/>
      </w:pPr>
      <w:r w:rsidRPr="00DB518A">
        <w:t>Malá kontejnerová domovní čistírna od</w:t>
      </w:r>
      <w:r w:rsidR="002C5949">
        <w:t>padních vod s mikroprocesorovou</w:t>
      </w:r>
      <w:r w:rsidRPr="00DB518A">
        <w:t xml:space="preserve"> ř</w:t>
      </w:r>
      <w:r w:rsidR="002C5949">
        <w:t xml:space="preserve">ídící jednotkou, </w:t>
      </w:r>
      <w:r w:rsidRPr="00DB518A">
        <w:t xml:space="preserve">procesem </w:t>
      </w:r>
      <w:r w:rsidR="002C5949">
        <w:t>čištění  SBR , velikost pro 5-50</w:t>
      </w:r>
      <w:r w:rsidRPr="00DB518A">
        <w:t xml:space="preserve">  ekvivalentních obyvatel (EO), v celoplastové, válcové, samonosné nádrži pro osazení do zeleného pásu.</w:t>
      </w:r>
    </w:p>
    <w:p w:rsidR="002C5949" w:rsidRPr="002C5949" w:rsidRDefault="002C5949" w:rsidP="002C5949">
      <w:pPr>
        <w:keepNext w:val="0"/>
        <w:spacing w:before="120"/>
        <w:rPr>
          <w:b/>
        </w:rPr>
      </w:pPr>
      <w:r>
        <w:rPr>
          <w:b/>
        </w:rPr>
        <w:t>Statika:</w:t>
      </w:r>
      <w:r w:rsidRPr="002C5949">
        <w:rPr>
          <w:b/>
        </w:rPr>
        <w:t xml:space="preserve"> </w:t>
      </w:r>
    </w:p>
    <w:p w:rsidR="002C5949" w:rsidRDefault="002C5949" w:rsidP="002C5949">
      <w:pPr>
        <w:keepNext w:val="0"/>
      </w:pPr>
      <w:r>
        <w:t xml:space="preserve">Plastová nádrž staticky posouzena na zemní tlak, přitížení od zásypu, nahodilé přitížení na terénu do 2.5 </w:t>
      </w:r>
      <w:proofErr w:type="spellStart"/>
      <w:r>
        <w:t>MPa</w:t>
      </w:r>
      <w:proofErr w:type="spellEnd"/>
      <w:r>
        <w:t>, vč. posouzení stability, na min. dobu provozu 25 let dle příslušných norem. Zásypy prováděny po vrstvách max. 300</w:t>
      </w:r>
      <w:r w:rsidR="00C05993">
        <w:t xml:space="preserve"> </w:t>
      </w:r>
      <w:r>
        <w:t>mm vhodným materiálem</w:t>
      </w:r>
      <w:r w:rsidR="00C05993">
        <w:t>,</w:t>
      </w:r>
      <w:r>
        <w:t xml:space="preserve"> bez velkých a ostrých zrn. O využití místního vytěženého materiálu rozhodne geolog.</w:t>
      </w:r>
    </w:p>
    <w:p w:rsidR="00E00911" w:rsidRDefault="00E00911">
      <w:pPr>
        <w:keepNext w:val="0"/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5949" w:rsidRPr="00345A30" w:rsidRDefault="002C5949" w:rsidP="000E0DD1">
      <w:pPr>
        <w:keepNext w:val="0"/>
        <w:spacing w:before="240" w:after="120"/>
        <w:rPr>
          <w:b/>
          <w:sz w:val="24"/>
          <w:szCs w:val="24"/>
        </w:rPr>
      </w:pPr>
      <w:r w:rsidRPr="000E0DD1">
        <w:rPr>
          <w:b/>
          <w:sz w:val="24"/>
          <w:szCs w:val="24"/>
        </w:rPr>
        <w:lastRenderedPageBreak/>
        <w:t>Uživatelský</w:t>
      </w:r>
      <w:r w:rsidRPr="00345A30">
        <w:rPr>
          <w:b/>
          <w:sz w:val="24"/>
          <w:szCs w:val="24"/>
        </w:rPr>
        <w:t xml:space="preserve"> standard:</w:t>
      </w:r>
    </w:p>
    <w:p w:rsidR="002C5949" w:rsidRDefault="002C5949" w:rsidP="002C5949">
      <w:pPr>
        <w:keepNext w:val="0"/>
      </w:pPr>
      <w:r>
        <w:t xml:space="preserve">Dodávka kompletního kontejneru ČOV, plastová nádrž vč. stropu a odnímatelného víka, technologické vystrojení  SBR a mikroprocesorová řídící jednotka s dmychadlem. Montáž kontejnerové ČOV provést podle montážních pokynů výrobce. </w:t>
      </w:r>
    </w:p>
    <w:p w:rsidR="00C62B91" w:rsidRPr="00C62B91" w:rsidRDefault="00C62B91" w:rsidP="00C62B91">
      <w:pPr>
        <w:keepNext w:val="0"/>
        <w:spacing w:before="120"/>
        <w:rPr>
          <w:b/>
        </w:rPr>
      </w:pPr>
      <w:r w:rsidRPr="00C62B91">
        <w:rPr>
          <w:b/>
        </w:rPr>
        <w:t>Způsob osazení:</w:t>
      </w:r>
    </w:p>
    <w:p w:rsidR="002C5949" w:rsidRDefault="00C62B91" w:rsidP="002C5949">
      <w:pPr>
        <w:keepNext w:val="0"/>
      </w:pPr>
      <w:r>
        <w:t>Nádrž se osazuje v zeleném pásu, max. hloubka základové spáry 2500</w:t>
      </w:r>
      <w:r w:rsidR="00C05993">
        <w:t xml:space="preserve"> </w:t>
      </w:r>
      <w:r>
        <w:t>mm. ČOV se osadí do výkopu na rovnou betonovou podkladní plochu</w:t>
      </w:r>
      <w:r w:rsidR="00C05993">
        <w:t>,</w:t>
      </w:r>
      <w:r>
        <w:t xml:space="preserve"> tloušťky dle únosnosti základové zeminy. Zpětný zásyp zeminou se bude provádět za současného napouštění nádrže vodou. Výsledná podoba objektu je zabudovaná ČOV v upraveném terénu, zatravněné ploše, s odklopným obdélníkovým víkem manipulačního vlezu s esteticky upraveným povrchem cca 50 mm nad úrovní terénu.</w:t>
      </w:r>
    </w:p>
    <w:p w:rsidR="00C62B91" w:rsidRPr="00C62B91" w:rsidRDefault="00C165FE" w:rsidP="00C62B91">
      <w:pPr>
        <w:keepNext w:val="0"/>
        <w:spacing w:before="120"/>
        <w:rPr>
          <w:b/>
        </w:rPr>
      </w:pPr>
      <w:r>
        <w:rPr>
          <w:b/>
        </w:rPr>
        <w:t>Princip čištění:</w:t>
      </w:r>
    </w:p>
    <w:p w:rsidR="00C165FE" w:rsidRDefault="00C165FE" w:rsidP="002C5949">
      <w:pPr>
        <w:keepNext w:val="0"/>
      </w:pPr>
      <w:r>
        <w:t xml:space="preserve">SBR technologie, </w:t>
      </w:r>
      <w:r w:rsidR="00C62B91">
        <w:t>technologické prostory navrženy</w:t>
      </w:r>
      <w:r>
        <w:t xml:space="preserve"> velikostně dle ČSN 75 6402 a ČSN EN 12255, objem zásobníku kalu je d</w:t>
      </w:r>
      <w:r w:rsidR="000E0DD1">
        <w:t>imenzován na denní spotřebu 150 l</w:t>
      </w:r>
      <w:r>
        <w:t>/EO s min. kapacitou zdržení kalu 3 měsíce, parametry vyčištěné vody podle NV č. 23/2011  a NV 416/2010 Sb.</w:t>
      </w:r>
    </w:p>
    <w:p w:rsidR="00C62B91" w:rsidRDefault="00C62B91" w:rsidP="00C62B91">
      <w:pPr>
        <w:keepNext w:val="0"/>
        <w:spacing w:before="120"/>
        <w:rPr>
          <w:b/>
        </w:rPr>
      </w:pPr>
      <w:r>
        <w:rPr>
          <w:b/>
        </w:rPr>
        <w:t>Nádrž ČOV:</w:t>
      </w:r>
    </w:p>
    <w:p w:rsidR="00C165FE" w:rsidRDefault="00C62B91" w:rsidP="002C5949">
      <w:pPr>
        <w:keepNext w:val="0"/>
      </w:pPr>
      <w:r>
        <w:t>P</w:t>
      </w:r>
      <w:r w:rsidR="00C165FE">
        <w:t>lastová z termoplastu (PP,</w:t>
      </w:r>
      <w:r w:rsidR="000E0DD1">
        <w:t xml:space="preserve"> </w:t>
      </w:r>
      <w:r w:rsidR="00C165FE">
        <w:t>PE) válcová, konstruována podle zásad ČSN EN 12573 a předpisů DVS, vst</w:t>
      </w:r>
      <w:r w:rsidR="000E0DD1">
        <w:t>upní manipulační otvor kulatý, min. světlý průměr 600</w:t>
      </w:r>
      <w:r w:rsidR="00C05993">
        <w:t xml:space="preserve"> </w:t>
      </w:r>
      <w:r w:rsidR="00C165FE">
        <w:t>mm.</w:t>
      </w:r>
    </w:p>
    <w:p w:rsidR="00C62B91" w:rsidRPr="00C62B91" w:rsidRDefault="00C165FE" w:rsidP="00C62B91">
      <w:pPr>
        <w:keepNext w:val="0"/>
        <w:spacing w:before="120"/>
        <w:rPr>
          <w:b/>
        </w:rPr>
      </w:pPr>
      <w:r>
        <w:rPr>
          <w:b/>
        </w:rPr>
        <w:t>Víko manipulačního otvoru</w:t>
      </w:r>
      <w:r w:rsidR="00C62B91" w:rsidRPr="00C62B91">
        <w:rPr>
          <w:b/>
        </w:rPr>
        <w:t xml:space="preserve">: </w:t>
      </w:r>
    </w:p>
    <w:p w:rsidR="00C165FE" w:rsidRDefault="00C62B91" w:rsidP="002C5949">
      <w:pPr>
        <w:keepNext w:val="0"/>
      </w:pPr>
      <w:r>
        <w:t>U</w:t>
      </w:r>
      <w:r w:rsidR="00C165FE">
        <w:t>zamy</w:t>
      </w:r>
      <w:r>
        <w:t>katelné, otevíratelné, z plastu nebo litiny</w:t>
      </w:r>
      <w:r w:rsidR="000E0DD1">
        <w:t xml:space="preserve">, </w:t>
      </w:r>
      <w:proofErr w:type="spellStart"/>
      <w:r w:rsidR="000E0DD1">
        <w:t>pochozí</w:t>
      </w:r>
      <w:proofErr w:type="spellEnd"/>
      <w:r w:rsidR="000E0DD1">
        <w:t xml:space="preserve"> </w:t>
      </w:r>
      <w:r>
        <w:t>nebo poj</w:t>
      </w:r>
      <w:r w:rsidR="00DD3AB6">
        <w:t>ízdné</w:t>
      </w:r>
      <w:r w:rsidR="00C165FE">
        <w:t>, protiskluzová úprava povrchu, únosnost dle ČSN EN 124 třídy A</w:t>
      </w:r>
      <w:r>
        <w:t xml:space="preserve">15, - B 125 </w:t>
      </w:r>
      <w:r w:rsidR="00C165FE">
        <w:t>odolného proti UV záření</w:t>
      </w:r>
    </w:p>
    <w:p w:rsidR="00C62B91" w:rsidRPr="00C62B91" w:rsidRDefault="00C165FE" w:rsidP="00C62B91">
      <w:pPr>
        <w:keepNext w:val="0"/>
        <w:spacing w:before="120"/>
        <w:rPr>
          <w:b/>
        </w:rPr>
      </w:pPr>
      <w:r w:rsidRPr="00C62B91">
        <w:rPr>
          <w:b/>
        </w:rPr>
        <w:t>D</w:t>
      </w:r>
      <w:r w:rsidR="00C62B91" w:rsidRPr="00C62B91">
        <w:rPr>
          <w:b/>
        </w:rPr>
        <w:t>alší vybavení:</w:t>
      </w:r>
    </w:p>
    <w:p w:rsidR="00C165FE" w:rsidRDefault="00C62B91" w:rsidP="002C5949">
      <w:pPr>
        <w:keepNext w:val="0"/>
      </w:pPr>
      <w:r>
        <w:t>Mikroprocesorová</w:t>
      </w:r>
      <w:r w:rsidR="00C165FE">
        <w:t xml:space="preserve"> říd</w:t>
      </w:r>
      <w:r>
        <w:t>ící jednotka včetně dmychadla</w:t>
      </w:r>
      <w:r w:rsidR="00C165FE">
        <w:t>,</w:t>
      </w:r>
      <w:r>
        <w:t xml:space="preserve"> </w:t>
      </w:r>
      <w:r w:rsidR="00C165FE">
        <w:t xml:space="preserve">elektromagnetických ventilů, dávkovacího </w:t>
      </w:r>
      <w:r>
        <w:t>zařízení pro srážení fosforu.</w:t>
      </w:r>
    </w:p>
    <w:p w:rsidR="00BF6F5D" w:rsidRDefault="00BF6F5D">
      <w:pPr>
        <w:keepNext w:val="0"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DF1929" w:rsidRDefault="00DF1929" w:rsidP="00DF1929">
      <w:pPr>
        <w:keepNext w:val="0"/>
        <w:spacing w:before="120"/>
        <w:rPr>
          <w:b/>
        </w:rPr>
      </w:pPr>
      <w:r w:rsidRPr="00DF1929">
        <w:rPr>
          <w:b/>
        </w:rPr>
        <w:lastRenderedPageBreak/>
        <w:t>Technické údaje:</w:t>
      </w:r>
      <w:r w:rsidR="003E19C6">
        <w:rPr>
          <w:b/>
        </w:rPr>
        <w:tab/>
      </w:r>
      <w:r w:rsidR="003E19C6" w:rsidRPr="003E19C6">
        <w:rPr>
          <w:b/>
          <w:i/>
          <w:sz w:val="24"/>
          <w:szCs w:val="24"/>
        </w:rPr>
        <w:t>AS-KLARO PZV</w:t>
      </w:r>
    </w:p>
    <w:p w:rsidR="00DF1929" w:rsidRPr="00DF1929" w:rsidRDefault="00DF1929" w:rsidP="00DF1929">
      <w:pPr>
        <w:keepNext w:val="0"/>
        <w:spacing w:before="120"/>
        <w:rPr>
          <w:b/>
        </w:rPr>
      </w:pPr>
    </w:p>
    <w:p w:rsidR="00DF1929" w:rsidRPr="001527C8" w:rsidRDefault="00DF1929" w:rsidP="00DF1929">
      <w:pPr>
        <w:ind w:left="-284" w:hanging="567"/>
        <w:jc w:val="center"/>
        <w:rPr>
          <w:i/>
          <w:sz w:val="16"/>
          <w:szCs w:val="16"/>
        </w:rPr>
      </w:pPr>
      <w:r w:rsidRPr="001527C8">
        <w:rPr>
          <w:i/>
          <w:sz w:val="16"/>
          <w:szCs w:val="16"/>
        </w:rPr>
        <w:t>Nádrž ČOV s šachtou MAXI + teleskopický nástavec MAXI</w:t>
      </w:r>
    </w:p>
    <w:p w:rsidR="00DF1929" w:rsidRPr="00BB354D" w:rsidRDefault="00DF1929" w:rsidP="003E19C6">
      <w:pPr>
        <w:ind w:left="-284" w:hanging="567"/>
        <w:jc w:val="center"/>
      </w:pPr>
    </w:p>
    <w:p w:rsidR="00DF1929" w:rsidRDefault="00BF6F5D" w:rsidP="00DF192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B833E" wp14:editId="46C6DF54">
            <wp:simplePos x="0" y="0"/>
            <wp:positionH relativeFrom="column">
              <wp:posOffset>634365</wp:posOffset>
            </wp:positionH>
            <wp:positionV relativeFrom="paragraph">
              <wp:posOffset>36830</wp:posOffset>
            </wp:positionV>
            <wp:extent cx="4140200" cy="2168525"/>
            <wp:effectExtent l="0" t="0" r="0" b="3175"/>
            <wp:wrapSquare wrapText="bothSides"/>
            <wp:docPr id="1" name="Obrázek 1" descr="nádrž-m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drž-max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59"/>
      </w:tblGrid>
      <w:tr w:rsidR="00BF6F5D" w:rsidTr="00BF6F5D">
        <w:trPr>
          <w:trHeight w:val="558"/>
        </w:trPr>
        <w:tc>
          <w:tcPr>
            <w:tcW w:w="3369" w:type="dxa"/>
            <w:vAlign w:val="center"/>
          </w:tcPr>
          <w:p w:rsidR="00BF6F5D" w:rsidRPr="00F6277E" w:rsidRDefault="00BF6F5D" w:rsidP="00BF6F5D">
            <w:pPr>
              <w:ind w:right="-533"/>
              <w:jc w:val="left"/>
              <w:rPr>
                <w:b/>
              </w:rPr>
            </w:pPr>
            <w:r w:rsidRPr="00F6277E">
              <w:rPr>
                <w:b/>
              </w:rPr>
              <w:t>Typ nádrže</w:t>
            </w:r>
          </w:p>
        </w:tc>
        <w:tc>
          <w:tcPr>
            <w:tcW w:w="1559" w:type="dxa"/>
            <w:vAlign w:val="center"/>
          </w:tcPr>
          <w:p w:rsidR="00BF6F5D" w:rsidRPr="00770576" w:rsidRDefault="00BF6F5D" w:rsidP="00BF6F5D">
            <w:pPr>
              <w:jc w:val="center"/>
              <w:rPr>
                <w:b/>
              </w:rPr>
            </w:pPr>
            <w:r>
              <w:rPr>
                <w:b/>
              </w:rPr>
              <w:t>AS-KLARO PZV 3 EO</w:t>
            </w:r>
          </w:p>
        </w:tc>
        <w:tc>
          <w:tcPr>
            <w:tcW w:w="1559" w:type="dxa"/>
            <w:vAlign w:val="center"/>
          </w:tcPr>
          <w:p w:rsidR="00BF6F5D" w:rsidRPr="00770576" w:rsidRDefault="00BF6F5D" w:rsidP="00BF6F5D">
            <w:pPr>
              <w:jc w:val="center"/>
              <w:rPr>
                <w:b/>
              </w:rPr>
            </w:pPr>
            <w:r>
              <w:rPr>
                <w:b/>
              </w:rPr>
              <w:t>AS-KLARO PZV 5 EO</w:t>
            </w:r>
          </w:p>
        </w:tc>
        <w:tc>
          <w:tcPr>
            <w:tcW w:w="1559" w:type="dxa"/>
            <w:vAlign w:val="center"/>
          </w:tcPr>
          <w:p w:rsidR="00BF6F5D" w:rsidRPr="00770576" w:rsidRDefault="00BF6F5D" w:rsidP="00BF6F5D">
            <w:pPr>
              <w:jc w:val="center"/>
              <w:rPr>
                <w:b/>
              </w:rPr>
            </w:pPr>
            <w:r>
              <w:rPr>
                <w:b/>
              </w:rPr>
              <w:t>AS-KLARO PZV 7 EO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Pr="00F6277E" w:rsidRDefault="00BF6F5D" w:rsidP="00BF6F5D">
            <w:pPr>
              <w:ind w:right="-533"/>
              <w:jc w:val="left"/>
              <w:rPr>
                <w:b/>
              </w:rPr>
            </w:pPr>
            <w:r>
              <w:rPr>
                <w:b/>
              </w:rPr>
              <w:t>Počet EO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2 - 4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4 - 6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6 - 8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Pr="00F6277E" w:rsidRDefault="00BF6F5D" w:rsidP="00BF6F5D">
            <w:pPr>
              <w:ind w:right="-533"/>
              <w:jc w:val="left"/>
              <w:rPr>
                <w:b/>
              </w:rPr>
            </w:pPr>
            <w:r>
              <w:rPr>
                <w:b/>
              </w:rPr>
              <w:t>Objem (m</w:t>
            </w:r>
            <w:r w:rsidRPr="002F4E02"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3,75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4,80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6,50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Pr="00F6277E" w:rsidRDefault="00BF6F5D" w:rsidP="00BF6F5D">
            <w:pPr>
              <w:ind w:right="-533"/>
              <w:jc w:val="left"/>
              <w:rPr>
                <w:b/>
              </w:rPr>
            </w:pPr>
            <w:r w:rsidRPr="00F6277E">
              <w:rPr>
                <w:b/>
              </w:rPr>
              <w:t>Hmotnost nádrže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150 kg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185 kg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220 kg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Pr="00F6277E" w:rsidRDefault="00BF6F5D" w:rsidP="00BF6F5D">
            <w:pPr>
              <w:ind w:right="-533"/>
              <w:jc w:val="left"/>
              <w:rPr>
                <w:b/>
              </w:rPr>
            </w:pPr>
            <w:r w:rsidRPr="00F6277E">
              <w:rPr>
                <w:b/>
              </w:rPr>
              <w:t>Hmotnost vystrojené nádrže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175 kg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220 kg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265 kg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Pr="00F6277E" w:rsidRDefault="00BF6F5D" w:rsidP="00BF6F5D">
            <w:pPr>
              <w:ind w:right="-533"/>
              <w:jc w:val="left"/>
              <w:rPr>
                <w:b/>
              </w:rPr>
            </w:pPr>
            <w:r>
              <w:rPr>
                <w:b/>
              </w:rPr>
              <w:t>Délka (L)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2280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2280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2390 mm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Pr="00F6277E" w:rsidRDefault="00BF6F5D" w:rsidP="00BF6F5D">
            <w:pPr>
              <w:ind w:right="-533"/>
              <w:jc w:val="left"/>
              <w:rPr>
                <w:b/>
              </w:rPr>
            </w:pPr>
            <w:r>
              <w:rPr>
                <w:b/>
              </w:rPr>
              <w:t>Šířka (W)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1755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1985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2190 mm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Pr="00F6277E" w:rsidRDefault="00BF6F5D" w:rsidP="00BF6F5D">
            <w:pPr>
              <w:ind w:right="-533"/>
              <w:jc w:val="left"/>
              <w:rPr>
                <w:b/>
              </w:rPr>
            </w:pPr>
            <w:r>
              <w:rPr>
                <w:b/>
              </w:rPr>
              <w:t>Výška bez nástavce (H)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1590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1820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2100 mm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Pr="00F6277E" w:rsidRDefault="00BF6F5D" w:rsidP="00BF6F5D">
            <w:pPr>
              <w:ind w:right="-533"/>
              <w:jc w:val="left"/>
              <w:rPr>
                <w:b/>
              </w:rPr>
            </w:pPr>
            <w:r>
              <w:rPr>
                <w:b/>
              </w:rPr>
              <w:t>Výška s šachtou (</w:t>
            </w:r>
            <w:proofErr w:type="spellStart"/>
            <w:r>
              <w:rPr>
                <w:b/>
              </w:rPr>
              <w:t>H</w:t>
            </w:r>
            <w:r w:rsidRPr="008E7FE1">
              <w:rPr>
                <w:b/>
                <w:sz w:val="16"/>
                <w:szCs w:val="16"/>
              </w:rPr>
              <w:t>tot</w:t>
            </w:r>
            <w:proofErr w:type="spellEnd"/>
            <w:r>
              <w:rPr>
                <w:b/>
              </w:rPr>
              <w:t>)*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2200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2430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2710 mm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Default="00BF6F5D" w:rsidP="00BF6F5D">
            <w:pPr>
              <w:ind w:right="-533"/>
              <w:jc w:val="left"/>
              <w:rPr>
                <w:b/>
              </w:rPr>
            </w:pPr>
            <w:r>
              <w:rPr>
                <w:b/>
              </w:rPr>
              <w:t>Výška nátoku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1360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1590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1870 mm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Default="00BF6F5D" w:rsidP="00BF6F5D">
            <w:pPr>
              <w:ind w:right="-533"/>
              <w:jc w:val="left"/>
              <w:rPr>
                <w:b/>
              </w:rPr>
            </w:pPr>
            <w:r>
              <w:rPr>
                <w:b/>
              </w:rPr>
              <w:t>Alternativní výška nátoku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1630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1860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2140 mm</w:t>
            </w:r>
          </w:p>
        </w:tc>
      </w:tr>
      <w:tr w:rsidR="00BF6F5D" w:rsidTr="00BF6F5D">
        <w:trPr>
          <w:trHeight w:val="312"/>
        </w:trPr>
        <w:tc>
          <w:tcPr>
            <w:tcW w:w="3369" w:type="dxa"/>
            <w:vAlign w:val="center"/>
          </w:tcPr>
          <w:p w:rsidR="00BF6F5D" w:rsidRDefault="00BF6F5D" w:rsidP="00BF6F5D">
            <w:pPr>
              <w:ind w:right="-533"/>
              <w:jc w:val="left"/>
              <w:rPr>
                <w:b/>
              </w:rPr>
            </w:pPr>
            <w:r>
              <w:rPr>
                <w:b/>
              </w:rPr>
              <w:t>Výška odtoku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1350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1580 mm</w:t>
            </w:r>
          </w:p>
        </w:tc>
        <w:tc>
          <w:tcPr>
            <w:tcW w:w="1559" w:type="dxa"/>
            <w:vAlign w:val="center"/>
          </w:tcPr>
          <w:p w:rsidR="00BF6F5D" w:rsidRDefault="00BF6F5D" w:rsidP="00BF6F5D">
            <w:pPr>
              <w:jc w:val="center"/>
            </w:pPr>
            <w:r>
              <w:t>1860 mm</w:t>
            </w:r>
          </w:p>
        </w:tc>
      </w:tr>
    </w:tbl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0E0DD1" w:rsidRDefault="000E0DD1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3E19C6" w:rsidRDefault="003E19C6" w:rsidP="00DF1929">
      <w:pPr>
        <w:rPr>
          <w:sz w:val="16"/>
          <w:szCs w:val="16"/>
        </w:rPr>
      </w:pPr>
    </w:p>
    <w:p w:rsidR="00DF1929" w:rsidRDefault="00DF1929" w:rsidP="00DF1929">
      <w:pPr>
        <w:rPr>
          <w:sz w:val="16"/>
          <w:szCs w:val="16"/>
        </w:rPr>
      </w:pPr>
    </w:p>
    <w:p w:rsidR="00DF1929" w:rsidRDefault="00DF1929" w:rsidP="002C5949">
      <w:pPr>
        <w:keepNext w:val="0"/>
      </w:pPr>
    </w:p>
    <w:p w:rsidR="00782A98" w:rsidRDefault="00782A98" w:rsidP="002C5949">
      <w:pPr>
        <w:keepNext w:val="0"/>
      </w:pPr>
    </w:p>
    <w:p w:rsidR="00782A98" w:rsidRDefault="00782A98" w:rsidP="002C5949">
      <w:pPr>
        <w:keepNext w:val="0"/>
      </w:pPr>
    </w:p>
    <w:p w:rsidR="00782A98" w:rsidRDefault="00782A98" w:rsidP="00782A98">
      <w:pPr>
        <w:jc w:val="center"/>
        <w:rPr>
          <w:sz w:val="16"/>
          <w:szCs w:val="16"/>
        </w:rPr>
      </w:pPr>
      <w:r w:rsidRPr="00762FFB">
        <w:rPr>
          <w:sz w:val="16"/>
          <w:szCs w:val="16"/>
        </w:rPr>
        <w:t>*</w:t>
      </w:r>
      <w:r>
        <w:rPr>
          <w:sz w:val="16"/>
          <w:szCs w:val="16"/>
        </w:rPr>
        <w:t xml:space="preserve"> Základní varianta. Na šachtu se usadí teleskopický nástavec s víkem, který je možné výškově nastavit.</w:t>
      </w:r>
    </w:p>
    <w:p w:rsidR="00782A98" w:rsidRDefault="00782A98" w:rsidP="002C5949">
      <w:pPr>
        <w:keepNext w:val="0"/>
      </w:pPr>
    </w:p>
    <w:sectPr w:rsidR="00782A98" w:rsidSect="003F53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E"/>
    <w:rsid w:val="000E0DD1"/>
    <w:rsid w:val="00182A50"/>
    <w:rsid w:val="002B117C"/>
    <w:rsid w:val="002C5949"/>
    <w:rsid w:val="00345A30"/>
    <w:rsid w:val="003E19C6"/>
    <w:rsid w:val="003F53B0"/>
    <w:rsid w:val="0061359E"/>
    <w:rsid w:val="00751645"/>
    <w:rsid w:val="0075580A"/>
    <w:rsid w:val="00782A98"/>
    <w:rsid w:val="00854596"/>
    <w:rsid w:val="0098717A"/>
    <w:rsid w:val="00994E08"/>
    <w:rsid w:val="00BA206A"/>
    <w:rsid w:val="00BD60C5"/>
    <w:rsid w:val="00BF6F5D"/>
    <w:rsid w:val="00C05993"/>
    <w:rsid w:val="00C165FE"/>
    <w:rsid w:val="00C62B91"/>
    <w:rsid w:val="00CC5A16"/>
    <w:rsid w:val="00DB518A"/>
    <w:rsid w:val="00DD3AB6"/>
    <w:rsid w:val="00DF1929"/>
    <w:rsid w:val="00E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FE"/>
    <w:pPr>
      <w:keepNext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16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165F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2">
    <w:name w:val="Název 2"/>
    <w:basedOn w:val="Normln"/>
    <w:autoRedefine/>
    <w:rsid w:val="002C5949"/>
    <w:pPr>
      <w:keepNext w:val="0"/>
      <w:spacing w:before="120"/>
      <w:jc w:val="left"/>
      <w:outlineLvl w:val="0"/>
    </w:pPr>
  </w:style>
  <w:style w:type="paragraph" w:styleId="Bezmezer">
    <w:name w:val="No Spacing"/>
    <w:uiPriority w:val="1"/>
    <w:qFormat/>
    <w:rsid w:val="002B11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FE"/>
    <w:pPr>
      <w:keepNext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16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165F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zev2">
    <w:name w:val="Název 2"/>
    <w:basedOn w:val="Normln"/>
    <w:autoRedefine/>
    <w:rsid w:val="002C5949"/>
    <w:pPr>
      <w:keepNext w:val="0"/>
      <w:spacing w:before="120"/>
      <w:jc w:val="left"/>
      <w:outlineLvl w:val="0"/>
    </w:pPr>
  </w:style>
  <w:style w:type="paragraph" w:styleId="Bezmezer">
    <w:name w:val="No Spacing"/>
    <w:uiPriority w:val="1"/>
    <w:qFormat/>
    <w:rsid w:val="002B1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662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</dc:creator>
  <cp:keywords/>
  <dc:description/>
  <cp:lastModifiedBy>Michal Ploteny</cp:lastModifiedBy>
  <cp:revision>19</cp:revision>
  <dcterms:created xsi:type="dcterms:W3CDTF">2014-05-23T13:04:00Z</dcterms:created>
  <dcterms:modified xsi:type="dcterms:W3CDTF">2014-11-01T07:28:00Z</dcterms:modified>
</cp:coreProperties>
</file>