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6F" w:rsidRPr="0065516F" w:rsidRDefault="0065516F" w:rsidP="004963A4">
      <w:pPr>
        <w:pStyle w:val="Zhlav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bookmarkStart w:id="0" w:name="_Toc351532385"/>
      <w:r>
        <w:rPr>
          <w:b/>
          <w:sz w:val="36"/>
          <w:szCs w:val="36"/>
        </w:rPr>
        <w:t>T</w:t>
      </w:r>
      <w:r w:rsidR="00C0577F" w:rsidRPr="0065516F">
        <w:rPr>
          <w:b/>
          <w:sz w:val="36"/>
          <w:szCs w:val="36"/>
        </w:rPr>
        <w:t>ECHNICK</w:t>
      </w:r>
      <w:r w:rsidR="0050405E" w:rsidRPr="0065516F">
        <w:rPr>
          <w:b/>
          <w:sz w:val="36"/>
          <w:szCs w:val="36"/>
        </w:rPr>
        <w:t>É SPECIFIKACE</w:t>
      </w:r>
      <w:bookmarkEnd w:id="0"/>
    </w:p>
    <w:p w:rsidR="0050405E" w:rsidRPr="004963A4" w:rsidRDefault="0050405E" w:rsidP="004963A4">
      <w:pPr>
        <w:pStyle w:val="Zhlav"/>
        <w:spacing w:after="240"/>
        <w:jc w:val="center"/>
        <w:rPr>
          <w:sz w:val="36"/>
          <w:szCs w:val="36"/>
        </w:rPr>
      </w:pPr>
      <w:r w:rsidRPr="004963A4">
        <w:rPr>
          <w:sz w:val="24"/>
          <w:szCs w:val="24"/>
        </w:rPr>
        <w:t xml:space="preserve">dle zákona č. 40/2004, Sb. ve znění </w:t>
      </w:r>
      <w:proofErr w:type="spellStart"/>
      <w:r w:rsidRPr="004963A4">
        <w:rPr>
          <w:sz w:val="24"/>
          <w:szCs w:val="24"/>
        </w:rPr>
        <w:t>Vyhl</w:t>
      </w:r>
      <w:proofErr w:type="spellEnd"/>
      <w:r w:rsidRPr="004963A4">
        <w:rPr>
          <w:sz w:val="24"/>
          <w:szCs w:val="24"/>
        </w:rPr>
        <w:t>. č. 239/2004 Sb.</w:t>
      </w:r>
    </w:p>
    <w:p w:rsidR="0050405E" w:rsidRPr="004963A4" w:rsidRDefault="004963A4" w:rsidP="004963A4">
      <w:pPr>
        <w:jc w:val="center"/>
        <w:rPr>
          <w:i/>
          <w:sz w:val="32"/>
          <w:szCs w:val="32"/>
        </w:rPr>
      </w:pPr>
      <w:r w:rsidRPr="004963A4">
        <w:rPr>
          <w:i/>
          <w:sz w:val="32"/>
          <w:szCs w:val="32"/>
        </w:rPr>
        <w:t>Technický list</w:t>
      </w:r>
    </w:p>
    <w:p w:rsidR="0050405E" w:rsidRDefault="0050405E" w:rsidP="004963A4">
      <w:pPr>
        <w:spacing w:before="240" w:after="120"/>
        <w:ind w:left="1418"/>
        <w:jc w:val="left"/>
        <w:rPr>
          <w:b/>
          <w:sz w:val="20"/>
        </w:rPr>
      </w:pPr>
      <w:r w:rsidRPr="004963A4">
        <w:rPr>
          <w:b/>
          <w:sz w:val="20"/>
        </w:rPr>
        <w:t>Konkretizace typu a modifikace výrobku:</w:t>
      </w:r>
    </w:p>
    <w:p w:rsidR="004963A4" w:rsidRPr="004963A4" w:rsidRDefault="004963A4" w:rsidP="004963A4">
      <w:pPr>
        <w:rPr>
          <w:i/>
          <w:sz w:val="18"/>
          <w:szCs w:val="18"/>
        </w:rPr>
      </w:pPr>
      <w:r w:rsidRPr="004963A4">
        <w:rPr>
          <w:i/>
          <w:sz w:val="18"/>
          <w:szCs w:val="18"/>
        </w:rPr>
        <w:t>Tunelový systém složený z počátečního čela, středního tunelu a koncového čela.</w:t>
      </w:r>
    </w:p>
    <w:p w:rsidR="0050405E" w:rsidRPr="004963A4" w:rsidRDefault="00407FD5" w:rsidP="004963A4">
      <w:pPr>
        <w:spacing w:before="120" w:after="120"/>
        <w:ind w:left="353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AS-</w:t>
      </w:r>
      <w:bookmarkStart w:id="1" w:name="_GoBack"/>
      <w:bookmarkEnd w:id="1"/>
      <w:r w:rsidR="003E1EF8" w:rsidRPr="004963A4">
        <w:rPr>
          <w:b/>
          <w:sz w:val="28"/>
          <w:szCs w:val="28"/>
        </w:rPr>
        <w:t>K</w:t>
      </w:r>
      <w:r w:rsidR="004963A4" w:rsidRPr="004963A4">
        <w:rPr>
          <w:b/>
          <w:sz w:val="28"/>
          <w:szCs w:val="28"/>
        </w:rPr>
        <w:t>RECHT</w:t>
      </w:r>
    </w:p>
    <w:p w:rsidR="00351C63" w:rsidRDefault="00351C63" w:rsidP="00351C63">
      <w:pPr>
        <w:spacing w:before="120" w:after="60"/>
        <w:jc w:val="left"/>
        <w:rPr>
          <w:b/>
          <w:sz w:val="24"/>
          <w:szCs w:val="24"/>
        </w:rPr>
      </w:pPr>
      <w:bookmarkStart w:id="2" w:name="_Toc351532386"/>
      <w:r w:rsidRPr="00D27A0A">
        <w:rPr>
          <w:b/>
          <w:sz w:val="24"/>
          <w:szCs w:val="24"/>
        </w:rPr>
        <w:t>Technický standard</w:t>
      </w:r>
    </w:p>
    <w:p w:rsidR="000C34B8" w:rsidRPr="00351C63" w:rsidRDefault="00351C63" w:rsidP="00351C63">
      <w:pPr>
        <w:rPr>
          <w:b/>
          <w:sz w:val="20"/>
        </w:rPr>
      </w:pPr>
      <w:r w:rsidRPr="00351C63">
        <w:rPr>
          <w:b/>
          <w:sz w:val="20"/>
        </w:rPr>
        <w:t>Tunelový systém složený z počátečního čela, středního tunelu a koncového čela.</w:t>
      </w:r>
    </w:p>
    <w:p w:rsidR="00351C63" w:rsidRPr="00351C63" w:rsidRDefault="0050405E" w:rsidP="00351C63">
      <w:pPr>
        <w:spacing w:before="120"/>
        <w:rPr>
          <w:b/>
          <w:sz w:val="20"/>
        </w:rPr>
      </w:pPr>
      <w:r w:rsidRPr="00351C63">
        <w:rPr>
          <w:b/>
          <w:sz w:val="20"/>
        </w:rPr>
        <w:t>Popis</w:t>
      </w:r>
      <w:bookmarkEnd w:id="2"/>
      <w:r w:rsidR="00351C63" w:rsidRPr="00351C63">
        <w:rPr>
          <w:b/>
          <w:sz w:val="20"/>
        </w:rPr>
        <w:t>:</w:t>
      </w:r>
    </w:p>
    <w:p w:rsidR="00351C63" w:rsidRDefault="003E1EF8" w:rsidP="00351C63">
      <w:r>
        <w:rPr>
          <w:rFonts w:cs="Arial"/>
        </w:rPr>
        <w:t xml:space="preserve">Tunelový systém </w:t>
      </w:r>
      <w:r w:rsidR="00B56393">
        <w:t>AS-</w:t>
      </w:r>
      <w:r>
        <w:t xml:space="preserve">KRECHT </w:t>
      </w:r>
      <w:r w:rsidR="00B56393">
        <w:t>j</w:t>
      </w:r>
      <w:r>
        <w:t>e</w:t>
      </w:r>
      <w:r w:rsidR="00B56393">
        <w:t xml:space="preserve"> určeny k vytvoření podzemního prostoru, který slouží k retenci dešťových vod. Samotný objekt může sloužit jako vsakovací objekt, při použití nepropustné folie </w:t>
      </w:r>
      <w:r w:rsidR="00200C17">
        <w:t>k retenci vody a jejímu postupnému vypouštění n</w:t>
      </w:r>
      <w:r w:rsidR="00351C63">
        <w:t>ebo lze tyto funkce kombinovat.</w:t>
      </w:r>
    </w:p>
    <w:p w:rsidR="00351C63" w:rsidRPr="00351C63" w:rsidRDefault="00351C63" w:rsidP="00351C63">
      <w:pPr>
        <w:spacing w:before="120"/>
        <w:rPr>
          <w:b/>
          <w:sz w:val="20"/>
        </w:rPr>
      </w:pPr>
      <w:r w:rsidRPr="00351C63">
        <w:rPr>
          <w:b/>
          <w:sz w:val="20"/>
        </w:rPr>
        <w:t>Princip funkce:</w:t>
      </w:r>
    </w:p>
    <w:p w:rsidR="00200C17" w:rsidRPr="005552D8" w:rsidRDefault="003E1EF8" w:rsidP="00351C63">
      <w:r>
        <w:t xml:space="preserve">Tunely </w:t>
      </w:r>
      <w:r w:rsidR="00200C17">
        <w:t>AS-</w:t>
      </w:r>
      <w:r>
        <w:t>KRECHT</w:t>
      </w:r>
      <w:r w:rsidR="00200C17">
        <w:t xml:space="preserve"> jsou určeny pro vytvoření podzemního vsakovacího (retenčního) prostoru a k optimalizaci řízení odtoku srážkových vod. Svoji lehkou konstrukcí umožňují jednoduchou a rychlou ruční manipulaci při instalaci vsakovacího objektu. </w:t>
      </w:r>
    </w:p>
    <w:p w:rsidR="00351C63" w:rsidRPr="00351C63" w:rsidRDefault="00C0577F" w:rsidP="00351C63">
      <w:pPr>
        <w:spacing w:before="120"/>
        <w:rPr>
          <w:b/>
          <w:sz w:val="20"/>
        </w:rPr>
      </w:pPr>
      <w:bookmarkStart w:id="3" w:name="_Toc351532389"/>
      <w:r w:rsidRPr="00351C63">
        <w:rPr>
          <w:b/>
          <w:sz w:val="20"/>
        </w:rPr>
        <w:t>Konstrukční řešení</w:t>
      </w:r>
      <w:bookmarkEnd w:id="3"/>
      <w:r w:rsidR="00351C63" w:rsidRPr="00351C63">
        <w:rPr>
          <w:b/>
          <w:sz w:val="20"/>
        </w:rPr>
        <w:t>:</w:t>
      </w:r>
    </w:p>
    <w:p w:rsidR="00680D5C" w:rsidRDefault="003E1EF8" w:rsidP="00351C63">
      <w:r>
        <w:t>S</w:t>
      </w:r>
      <w:r w:rsidR="00680D5C">
        <w:t xml:space="preserve">rážkové vody </w:t>
      </w:r>
      <w:r>
        <w:t xml:space="preserve">jsou přes revizní šachtu svedeny </w:t>
      </w:r>
      <w:r w:rsidR="00680D5C">
        <w:t>do vsakovacího objektu sestaveného z</w:t>
      </w:r>
      <w:r>
        <w:t xml:space="preserve"> tunelů </w:t>
      </w:r>
      <w:r w:rsidR="00680D5C">
        <w:t>AS</w:t>
      </w:r>
      <w:r w:rsidR="00680D5C">
        <w:noBreakHyphen/>
      </w:r>
      <w:r>
        <w:t>KRECHT. Tunely se sestavují do jednotlivých řad, na koncích jsou řady uzavřeny počátečními a koncovými čely.</w:t>
      </w:r>
      <w:r w:rsidR="001E5795" w:rsidRPr="001E5795">
        <w:rPr>
          <w:rFonts w:cs="Arial"/>
        </w:rPr>
        <w:t xml:space="preserve"> </w:t>
      </w:r>
      <w:r w:rsidR="001E5795">
        <w:rPr>
          <w:rFonts w:cs="Arial"/>
        </w:rPr>
        <w:t xml:space="preserve">Jednotlivé řady tunelů lze osazovat vedle sebe paralelně. Výhodou vsakovacích tunelů AS-KRECHT je jejich snadná revize a čištění. Umožňuje to jejich tvar otevřené klenby bez příček nebo jiných zábran. Tak lze zkontrolovat celý prostor tunelů kamerovým systémem nebo vyčistit tunel pomocí tlakové trysky. </w:t>
      </w:r>
      <w:r w:rsidR="001E5795" w:rsidRPr="00E45B6A">
        <w:rPr>
          <w:rFonts w:cs="Arial"/>
        </w:rPr>
        <w:t xml:space="preserve">Předpokladem je připojení </w:t>
      </w:r>
      <w:r w:rsidR="001E5795">
        <w:rPr>
          <w:rFonts w:cs="Arial"/>
        </w:rPr>
        <w:t xml:space="preserve">revizní </w:t>
      </w:r>
      <w:r w:rsidR="001E5795" w:rsidRPr="00E45B6A">
        <w:rPr>
          <w:rFonts w:cs="Arial"/>
        </w:rPr>
        <w:t>šachty</w:t>
      </w:r>
      <w:r w:rsidR="001E5795">
        <w:rPr>
          <w:rFonts w:cs="Arial"/>
        </w:rPr>
        <w:t>, přes kterou je umožněn vstup kamery a čistící trysky. Z této šachty je možné odčerpat nečistoty vyplavené při čištění tunelů.</w:t>
      </w:r>
    </w:p>
    <w:p w:rsidR="00351C63" w:rsidRPr="00351C63" w:rsidRDefault="00C9653C" w:rsidP="00351C63">
      <w:pPr>
        <w:spacing w:before="120"/>
        <w:rPr>
          <w:b/>
          <w:sz w:val="20"/>
        </w:rPr>
      </w:pPr>
      <w:bookmarkStart w:id="4" w:name="_Ref83472072"/>
      <w:bookmarkStart w:id="5" w:name="_Toc351532394"/>
      <w:r w:rsidRPr="00351C63">
        <w:rPr>
          <w:b/>
          <w:sz w:val="20"/>
        </w:rPr>
        <w:t xml:space="preserve">Statické dimenzování </w:t>
      </w:r>
      <w:bookmarkEnd w:id="4"/>
      <w:r w:rsidRPr="00351C63">
        <w:rPr>
          <w:b/>
          <w:sz w:val="20"/>
        </w:rPr>
        <w:t>objektu</w:t>
      </w:r>
      <w:bookmarkEnd w:id="5"/>
      <w:r w:rsidRPr="00351C63">
        <w:rPr>
          <w:b/>
          <w:sz w:val="20"/>
        </w:rPr>
        <w:t>:</w:t>
      </w:r>
    </w:p>
    <w:p w:rsidR="00E236BB" w:rsidRPr="00351C63" w:rsidRDefault="001E5795" w:rsidP="00351C63">
      <w:r w:rsidRPr="00E45B6A">
        <w:t xml:space="preserve">Vzhledem ke </w:t>
      </w:r>
      <w:r>
        <w:t>statickým vlastnostem</w:t>
      </w:r>
      <w:r w:rsidRPr="00E45B6A">
        <w:t xml:space="preserve"> klenby</w:t>
      </w:r>
      <w:r>
        <w:t xml:space="preserve"> tunelu</w:t>
      </w:r>
      <w:r w:rsidRPr="00E45B6A">
        <w:t xml:space="preserve"> </w:t>
      </w:r>
      <w:r>
        <w:t>AS-KRECHT</w:t>
      </w:r>
      <w:r w:rsidRPr="00E45B6A">
        <w:t xml:space="preserve"> </w:t>
      </w:r>
      <w:r>
        <w:t>je možné, při správné instalaci, zatížit tunely okolní půdou a dopravními prostředky</w:t>
      </w:r>
      <w:r w:rsidRPr="00E45B6A">
        <w:t xml:space="preserve">. Předpokladem </w:t>
      </w:r>
      <w:r>
        <w:t>statické odolnosti</w:t>
      </w:r>
      <w:r w:rsidRPr="00E45B6A">
        <w:t xml:space="preserve"> j</w:t>
      </w:r>
      <w:r>
        <w:t>e správné uložení tunelu v zemi bočním zásypem</w:t>
      </w:r>
      <w:r w:rsidRPr="00E45B6A">
        <w:t xml:space="preserve">. V závislosti na typu zásypu (štěrk nebo </w:t>
      </w:r>
      <w:r>
        <w:t>zhutněná zemina</w:t>
      </w:r>
      <w:r w:rsidRPr="00E45B6A">
        <w:t xml:space="preserve">) a míře pokrytí mohou být tunely </w:t>
      </w:r>
      <w:r>
        <w:t xml:space="preserve">AS-KRECHT </w:t>
      </w:r>
      <w:r w:rsidRPr="00E45B6A">
        <w:t>aplikovány pod dopravní</w:t>
      </w:r>
      <w:r>
        <w:t>mi</w:t>
      </w:r>
      <w:r w:rsidRPr="00E45B6A">
        <w:t xml:space="preserve"> ploch</w:t>
      </w:r>
      <w:r>
        <w:t>ami s těžkým zatížením (</w:t>
      </w:r>
      <w:r w:rsidRPr="00E45B6A">
        <w:t>do SLW60</w:t>
      </w:r>
      <w:r>
        <w:t>)</w:t>
      </w:r>
      <w:r w:rsidRPr="00E45B6A">
        <w:t xml:space="preserve">. Instalační hloubka může být v rozsahu od 50 do </w:t>
      </w:r>
      <w:r>
        <w:t>cca 3</w:t>
      </w:r>
      <w:r w:rsidRPr="00E45B6A">
        <w:t>00 cm</w:t>
      </w:r>
      <w:r>
        <w:t> dle způsobu zatížení.</w:t>
      </w:r>
      <w:r w:rsidRPr="00E45B6A">
        <w:t xml:space="preserve"> </w:t>
      </w:r>
    </w:p>
    <w:p w:rsidR="00C9653C" w:rsidRPr="00351C63" w:rsidRDefault="00C9653C" w:rsidP="005B22B1">
      <w:pPr>
        <w:spacing w:before="240"/>
        <w:rPr>
          <w:b/>
          <w:sz w:val="24"/>
          <w:szCs w:val="24"/>
        </w:rPr>
      </w:pPr>
      <w:r w:rsidRPr="00351C63">
        <w:rPr>
          <w:b/>
          <w:sz w:val="24"/>
          <w:szCs w:val="24"/>
        </w:rPr>
        <w:t>Uživatelský standard</w:t>
      </w:r>
    </w:p>
    <w:p w:rsidR="00351C63" w:rsidRPr="00351C63" w:rsidRDefault="00680D5C" w:rsidP="00351C63">
      <w:pPr>
        <w:spacing w:before="120"/>
        <w:rPr>
          <w:b/>
          <w:sz w:val="20"/>
        </w:rPr>
      </w:pPr>
      <w:bookmarkStart w:id="6" w:name="_Toc84746797"/>
      <w:bookmarkStart w:id="7" w:name="_Toc351532393"/>
      <w:bookmarkEnd w:id="6"/>
      <w:r w:rsidRPr="00351C63">
        <w:rPr>
          <w:b/>
          <w:sz w:val="20"/>
        </w:rPr>
        <w:t>Sestavení objektu:</w:t>
      </w:r>
      <w:bookmarkEnd w:id="7"/>
    </w:p>
    <w:p w:rsidR="001E5795" w:rsidRPr="00E45B6A" w:rsidRDefault="001E5795" w:rsidP="00351C63">
      <w:pPr>
        <w:rPr>
          <w:rFonts w:cs="Arial"/>
        </w:rPr>
      </w:pPr>
      <w:r>
        <w:rPr>
          <w:rFonts w:cs="Arial"/>
        </w:rPr>
        <w:t>Tunely AS-KRECHT</w:t>
      </w:r>
      <w:r w:rsidRPr="00E45B6A">
        <w:rPr>
          <w:rFonts w:cs="Arial"/>
        </w:rPr>
        <w:t xml:space="preserve"> jsou ručně položeny v řadách.</w:t>
      </w:r>
      <w:r>
        <w:rPr>
          <w:rFonts w:cs="Arial"/>
        </w:rPr>
        <w:t xml:space="preserve"> Tunely jsou sestavované od počátečního čela s napojením jednoho nebo více </w:t>
      </w:r>
      <w:r w:rsidRPr="00E45B6A">
        <w:rPr>
          <w:rFonts w:cs="Arial"/>
        </w:rPr>
        <w:t>středový</w:t>
      </w:r>
      <w:r>
        <w:rPr>
          <w:rFonts w:cs="Arial"/>
        </w:rPr>
        <w:t>ch</w:t>
      </w:r>
      <w:r w:rsidRPr="00E45B6A">
        <w:rPr>
          <w:rFonts w:cs="Arial"/>
        </w:rPr>
        <w:t xml:space="preserve"> tunel</w:t>
      </w:r>
      <w:r>
        <w:rPr>
          <w:rFonts w:cs="Arial"/>
        </w:rPr>
        <w:t>ů</w:t>
      </w:r>
      <w:r w:rsidRPr="00E45B6A">
        <w:rPr>
          <w:rFonts w:cs="Arial"/>
        </w:rPr>
        <w:t xml:space="preserve"> a </w:t>
      </w:r>
      <w:r>
        <w:rPr>
          <w:rFonts w:cs="Arial"/>
        </w:rPr>
        <w:t>ukončené</w:t>
      </w:r>
      <w:r w:rsidRPr="00E45B6A">
        <w:rPr>
          <w:rFonts w:cs="Arial"/>
        </w:rPr>
        <w:t xml:space="preserve"> kon</w:t>
      </w:r>
      <w:r>
        <w:rPr>
          <w:rFonts w:cs="Arial"/>
        </w:rPr>
        <w:t>covým čelem</w:t>
      </w:r>
      <w:r w:rsidRPr="00E45B6A">
        <w:rPr>
          <w:rFonts w:cs="Arial"/>
        </w:rPr>
        <w:t>.</w:t>
      </w:r>
      <w:r>
        <w:rPr>
          <w:rFonts w:cs="Arial"/>
        </w:rPr>
        <w:t xml:space="preserve"> Mezi paralelně </w:t>
      </w:r>
      <w:r w:rsidRPr="00E45B6A">
        <w:rPr>
          <w:rFonts w:cs="Arial"/>
        </w:rPr>
        <w:t>položen</w:t>
      </w:r>
      <w:r>
        <w:rPr>
          <w:rFonts w:cs="Arial"/>
        </w:rPr>
        <w:t>ými</w:t>
      </w:r>
      <w:r w:rsidRPr="00E45B6A">
        <w:rPr>
          <w:rFonts w:cs="Arial"/>
        </w:rPr>
        <w:t xml:space="preserve"> řad</w:t>
      </w:r>
      <w:r>
        <w:rPr>
          <w:rFonts w:cs="Arial"/>
        </w:rPr>
        <w:t>ami</w:t>
      </w:r>
      <w:r w:rsidRPr="00E45B6A">
        <w:rPr>
          <w:rFonts w:cs="Arial"/>
        </w:rPr>
        <w:t xml:space="preserve"> musí </w:t>
      </w:r>
      <w:r>
        <w:rPr>
          <w:rFonts w:cs="Arial"/>
        </w:rPr>
        <w:t xml:space="preserve">být dodržen minimální </w:t>
      </w:r>
      <w:r w:rsidRPr="00E45B6A">
        <w:rPr>
          <w:rFonts w:cs="Arial"/>
        </w:rPr>
        <w:t xml:space="preserve">odstup </w:t>
      </w:r>
      <w:r>
        <w:rPr>
          <w:rFonts w:cs="Arial"/>
        </w:rPr>
        <w:t>cca 250-300</w:t>
      </w:r>
      <w:r w:rsidRPr="00E45B6A">
        <w:rPr>
          <w:rFonts w:cs="Arial"/>
        </w:rPr>
        <w:t xml:space="preserve"> mm</w:t>
      </w:r>
      <w:r>
        <w:rPr>
          <w:rFonts w:cs="Arial"/>
        </w:rPr>
        <w:t>. V případě zásypu pouze jemným štěrkopískem nebo jiným nesoudržným zásypovým materiálem je doporučená vzdálenost 450 mm.</w:t>
      </w:r>
    </w:p>
    <w:p w:rsidR="001E5795" w:rsidRPr="00E45B6A" w:rsidRDefault="001E5795" w:rsidP="00351C63">
      <w:pPr>
        <w:spacing w:before="120"/>
        <w:rPr>
          <w:rFonts w:cs="Arial"/>
        </w:rPr>
      </w:pPr>
      <w:r>
        <w:rPr>
          <w:rFonts w:cs="Arial"/>
        </w:rPr>
        <w:t>Přítokové, odtokové a případně spojovací potrubí mezi jednotlivými řadami</w:t>
      </w:r>
      <w:r w:rsidRPr="00E45B6A">
        <w:rPr>
          <w:rFonts w:cs="Arial"/>
        </w:rPr>
        <w:t xml:space="preserve"> </w:t>
      </w:r>
      <w:r>
        <w:rPr>
          <w:rFonts w:cs="Arial"/>
        </w:rPr>
        <w:t>je instalováno do počátečního a koncového čela</w:t>
      </w:r>
      <w:r w:rsidRPr="00E45B6A">
        <w:rPr>
          <w:rFonts w:cs="Arial"/>
        </w:rPr>
        <w:t xml:space="preserve">. </w:t>
      </w:r>
      <w:r>
        <w:rPr>
          <w:rFonts w:cs="Arial"/>
        </w:rPr>
        <w:t>Do </w:t>
      </w:r>
      <w:r w:rsidRPr="00E45B6A">
        <w:rPr>
          <w:rFonts w:cs="Arial"/>
        </w:rPr>
        <w:t>každé</w:t>
      </w:r>
      <w:r>
        <w:rPr>
          <w:rFonts w:cs="Arial"/>
        </w:rPr>
        <w:t xml:space="preserve">ho čela je </w:t>
      </w:r>
      <w:r w:rsidRPr="00E45B6A">
        <w:rPr>
          <w:rFonts w:cs="Arial"/>
        </w:rPr>
        <w:t>možn</w:t>
      </w:r>
      <w:r>
        <w:rPr>
          <w:rFonts w:cs="Arial"/>
        </w:rPr>
        <w:t>é</w:t>
      </w:r>
      <w:r w:rsidRPr="00E45B6A">
        <w:rPr>
          <w:rFonts w:cs="Arial"/>
        </w:rPr>
        <w:t xml:space="preserve"> připojit potrubí DN100 </w:t>
      </w:r>
      <w:r>
        <w:rPr>
          <w:rFonts w:cs="Arial"/>
        </w:rPr>
        <w:t>až</w:t>
      </w:r>
      <w:r w:rsidRPr="00E45B6A">
        <w:rPr>
          <w:rFonts w:cs="Arial"/>
        </w:rPr>
        <w:t xml:space="preserve"> DN300</w:t>
      </w:r>
      <w:r>
        <w:rPr>
          <w:rFonts w:cs="Arial"/>
        </w:rPr>
        <w:t xml:space="preserve"> a to buď v jeho horní, nebo spodní části</w:t>
      </w:r>
      <w:r w:rsidRPr="00E45B6A">
        <w:rPr>
          <w:rFonts w:cs="Arial"/>
        </w:rPr>
        <w:t>.</w:t>
      </w:r>
      <w:r>
        <w:rPr>
          <w:rFonts w:cs="Arial"/>
        </w:rPr>
        <w:t xml:space="preserve"> Do horní části čela tunelu lze také připojit odvětrávací potrubí, pro které jsou jinak určené instalační prostupy na vrcholu klenby středového tunelu.</w:t>
      </w:r>
    </w:p>
    <w:p w:rsidR="001E5795" w:rsidRPr="00E45B6A" w:rsidRDefault="001E5795" w:rsidP="00351C63">
      <w:pPr>
        <w:spacing w:before="120"/>
      </w:pPr>
      <w:r w:rsidRPr="00E45B6A">
        <w:t xml:space="preserve">Montáž tunelových prvků musí </w:t>
      </w:r>
      <w:r>
        <w:t>být provedena v souladu s instalačními pokyny, které jsou popsány dále v textu.</w:t>
      </w:r>
      <w:r w:rsidRPr="00E45B6A">
        <w:t xml:space="preserve"> Tunelové prvky jsou z hlediska jejich materiálových vlastností a </w:t>
      </w:r>
      <w:r>
        <w:t xml:space="preserve">způsobu </w:t>
      </w:r>
      <w:r w:rsidRPr="00E45B6A">
        <w:t xml:space="preserve">použití </w:t>
      </w:r>
      <w:r>
        <w:lastRenderedPageBreak/>
        <w:t xml:space="preserve">dimenzovány </w:t>
      </w:r>
      <w:r w:rsidRPr="00E45B6A">
        <w:t xml:space="preserve">na </w:t>
      </w:r>
      <w:r>
        <w:t xml:space="preserve">životnost </w:t>
      </w:r>
      <w:r w:rsidRPr="00E45B6A">
        <w:t xml:space="preserve">50 let. Odlišné způsoby instalace </w:t>
      </w:r>
      <w:r>
        <w:t xml:space="preserve">nebo použití </w:t>
      </w:r>
      <w:r w:rsidRPr="00E45B6A">
        <w:t>vyžadují zvláštní statické výpočty.</w:t>
      </w:r>
    </w:p>
    <w:p w:rsidR="00B26EE5" w:rsidRDefault="001E5795" w:rsidP="00351C63">
      <w:pPr>
        <w:spacing w:before="120"/>
      </w:pPr>
      <w:r>
        <w:t xml:space="preserve">Jednotlivé řady se napojují přes šachty. </w:t>
      </w:r>
      <w:r w:rsidR="00B26EE5">
        <w:t>Do odtokové lze osadit regulační za</w:t>
      </w:r>
      <w:r w:rsidR="00B45492">
        <w:t>řízení pro regulaci o</w:t>
      </w:r>
      <w:r w:rsidR="00B26EE5">
        <w:t xml:space="preserve">dtoku do kanalizace </w:t>
      </w:r>
      <w:r w:rsidR="00B45492">
        <w:t>(</w:t>
      </w:r>
      <w:r w:rsidR="00B26EE5">
        <w:t>pomocí škrtícího kapacitního otvoru</w:t>
      </w:r>
      <w:r w:rsidR="00B45492">
        <w:t xml:space="preserve"> nebo vírovým ventilem).</w:t>
      </w:r>
    </w:p>
    <w:p w:rsidR="000A27CA" w:rsidRPr="00593D10" w:rsidRDefault="00351C63" w:rsidP="000A27CA">
      <w:pPr>
        <w:rPr>
          <w:rFonts w:cs="Arial"/>
          <w:i/>
        </w:rPr>
      </w:pPr>
      <w:r>
        <w:br w:type="page"/>
      </w:r>
      <w:r w:rsidR="000A27CA" w:rsidRPr="000A27CA">
        <w:rPr>
          <w:rFonts w:cs="Arial"/>
          <w:b/>
          <w:sz w:val="20"/>
        </w:rPr>
        <w:lastRenderedPageBreak/>
        <w:t>Technické údaje:</w:t>
      </w:r>
      <w:r w:rsidR="000A27CA" w:rsidRPr="000A27CA">
        <w:rPr>
          <w:rFonts w:cs="Arial"/>
          <w:b/>
          <w:sz w:val="20"/>
        </w:rPr>
        <w:tab/>
      </w:r>
      <w:r w:rsidR="000A27CA">
        <w:rPr>
          <w:rFonts w:cs="Arial"/>
          <w:i/>
        </w:rPr>
        <w:tab/>
      </w:r>
      <w:r w:rsidR="000A27CA" w:rsidRPr="000A27CA">
        <w:rPr>
          <w:rFonts w:cs="Arial"/>
          <w:b/>
          <w:i/>
          <w:sz w:val="24"/>
          <w:szCs w:val="24"/>
        </w:rPr>
        <w:t>AS-KRECHT</w:t>
      </w:r>
    </w:p>
    <w:tbl>
      <w:tblPr>
        <w:tblW w:w="9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216"/>
        <w:gridCol w:w="2214"/>
        <w:gridCol w:w="2214"/>
      </w:tblGrid>
      <w:tr w:rsidR="000A27CA" w:rsidRPr="00E45B6A" w:rsidTr="00BE545D">
        <w:trPr>
          <w:trHeight w:val="375"/>
          <w:jc w:val="center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BD79A9" w:rsidRDefault="000A27CA" w:rsidP="00BE545D">
            <w:pPr>
              <w:rPr>
                <w:rFonts w:cs="Arial"/>
                <w:szCs w:val="22"/>
              </w:rPr>
            </w:pPr>
            <w:r w:rsidRPr="00BD79A9">
              <w:rPr>
                <w:rFonts w:cs="Arial"/>
                <w:szCs w:val="22"/>
              </w:rPr>
              <w:t> </w:t>
            </w:r>
            <w:r w:rsidRPr="00BD79A9">
              <w:rPr>
                <w:rFonts w:cs="Arial"/>
                <w:b/>
                <w:szCs w:val="22"/>
              </w:rPr>
              <w:t>Popis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BD79A9" w:rsidRDefault="000A27CA" w:rsidP="00BE545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D79A9">
              <w:rPr>
                <w:rFonts w:cs="Arial"/>
                <w:b/>
                <w:bCs/>
                <w:szCs w:val="22"/>
              </w:rPr>
              <w:t>Střední tunel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BD79A9" w:rsidRDefault="000A27CA" w:rsidP="00BE545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D79A9">
              <w:rPr>
                <w:rFonts w:cs="Arial"/>
                <w:b/>
                <w:bCs/>
                <w:szCs w:val="22"/>
              </w:rPr>
              <w:t>Počáteční čelo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BD79A9" w:rsidRDefault="000A27CA" w:rsidP="00BE545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D79A9">
              <w:rPr>
                <w:rFonts w:cs="Arial"/>
                <w:b/>
                <w:bCs/>
                <w:szCs w:val="22"/>
              </w:rPr>
              <w:t>Koncové čelo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BD79A9" w:rsidRDefault="000A27CA" w:rsidP="00BE54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BD79A9">
              <w:rPr>
                <w:rFonts w:cs="Arial"/>
                <w:b/>
                <w:sz w:val="20"/>
              </w:rPr>
              <w:t>Označení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593D10" w:rsidRDefault="000A27CA" w:rsidP="00BE545D">
            <w:pPr>
              <w:rPr>
                <w:rFonts w:cs="Arial"/>
                <w:b/>
                <w:sz w:val="20"/>
              </w:rPr>
            </w:pPr>
            <w:r w:rsidRPr="00593D10">
              <w:rPr>
                <w:rFonts w:cs="Arial"/>
                <w:b/>
                <w:sz w:val="20"/>
              </w:rPr>
              <w:t>DM-T-1600</w:t>
            </w:r>
            <w:r>
              <w:rPr>
                <w:rFonts w:cs="Arial"/>
                <w:b/>
                <w:sz w:val="20"/>
              </w:rPr>
              <w:t>-</w:t>
            </w:r>
            <w:r w:rsidRPr="00593D10">
              <w:rPr>
                <w:rFonts w:cs="Arial"/>
                <w:b/>
                <w:sz w:val="20"/>
              </w:rPr>
              <w:t>M</w:t>
            </w:r>
            <w:r>
              <w:rPr>
                <w:rFonts w:cs="Arial"/>
                <w:b/>
                <w:sz w:val="20"/>
              </w:rPr>
              <w:t>/60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593D10" w:rsidRDefault="000A27CA" w:rsidP="00BE545D">
            <w:pPr>
              <w:rPr>
                <w:rFonts w:cs="Arial"/>
                <w:b/>
                <w:sz w:val="20"/>
              </w:rPr>
            </w:pPr>
            <w:r w:rsidRPr="00593D10">
              <w:rPr>
                <w:rFonts w:cs="Arial"/>
                <w:b/>
                <w:sz w:val="20"/>
              </w:rPr>
              <w:t>DM-T-100-S</w:t>
            </w:r>
            <w:r>
              <w:rPr>
                <w:rFonts w:cs="Arial"/>
                <w:b/>
                <w:sz w:val="20"/>
              </w:rPr>
              <w:t>/60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593D10" w:rsidRDefault="000A27CA" w:rsidP="00BE545D">
            <w:pPr>
              <w:rPr>
                <w:rFonts w:cs="Arial"/>
                <w:b/>
                <w:sz w:val="20"/>
              </w:rPr>
            </w:pPr>
            <w:r w:rsidRPr="00593D10">
              <w:rPr>
                <w:rFonts w:cs="Arial"/>
                <w:b/>
                <w:sz w:val="20"/>
              </w:rPr>
              <w:t>DM-T-100-E</w:t>
            </w:r>
            <w:r>
              <w:rPr>
                <w:rFonts w:cs="Arial"/>
                <w:b/>
                <w:sz w:val="20"/>
              </w:rPr>
              <w:t>/60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Délka [mm]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444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Šířka [mm]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1375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1375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1375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Výška (</w:t>
            </w:r>
            <w:r>
              <w:rPr>
                <w:rFonts w:cs="Arial"/>
                <w:sz w:val="20"/>
              </w:rPr>
              <w:t>klenby</w:t>
            </w:r>
            <w:r w:rsidRPr="00E45B6A">
              <w:rPr>
                <w:rFonts w:cs="Arial"/>
                <w:sz w:val="20"/>
              </w:rPr>
              <w:t>) [mm]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736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 xml:space="preserve">Výška </w:t>
            </w:r>
            <w:r w:rsidRPr="002D7494">
              <w:rPr>
                <w:rFonts w:cs="Arial"/>
                <w:sz w:val="16"/>
                <w:szCs w:val="16"/>
              </w:rPr>
              <w:t xml:space="preserve">(připojení odvětrání) </w:t>
            </w:r>
            <w:r w:rsidRPr="00E45B6A">
              <w:rPr>
                <w:rFonts w:cs="Arial"/>
                <w:sz w:val="20"/>
              </w:rPr>
              <w:t>[mm]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--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Efektivní délka [mm]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2250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--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Třída zatížení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SLW60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SLW60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SLW60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Hmotnost [kg]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E45B6A">
              <w:rPr>
                <w:rFonts w:cs="Arial"/>
                <w:sz w:val="20"/>
              </w:rP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E45B6A">
              <w:rPr>
                <w:rFonts w:cs="Arial"/>
                <w:sz w:val="20"/>
              </w:rPr>
              <w:t>5,6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Materiál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PE-HD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PE-HD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PE-HD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Nátok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 xml:space="preserve">1 x DN100 </w:t>
            </w:r>
            <w:r w:rsidRPr="00195084">
              <w:rPr>
                <w:rFonts w:cs="Arial"/>
                <w:sz w:val="16"/>
                <w:szCs w:val="16"/>
              </w:rPr>
              <w:t>(vrchol klenby)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DN100-300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DN100-300</w:t>
            </w:r>
          </w:p>
        </w:tc>
      </w:tr>
      <w:tr w:rsidR="000A27CA" w:rsidRPr="00E45B6A" w:rsidTr="00BE545D">
        <w:trPr>
          <w:trHeight w:val="25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Povolená tolerance [%]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±</w:t>
            </w:r>
            <w:r w:rsidRPr="00E45B6A">
              <w:rPr>
                <w:rFonts w:cs="Arial"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±</w:t>
            </w:r>
            <w:r w:rsidRPr="00E45B6A">
              <w:rPr>
                <w:rFonts w:cs="Arial"/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±</w:t>
            </w:r>
            <w:r w:rsidRPr="00E45B6A">
              <w:rPr>
                <w:rFonts w:cs="Arial"/>
                <w:sz w:val="20"/>
              </w:rPr>
              <w:t>4</w:t>
            </w:r>
          </w:p>
        </w:tc>
      </w:tr>
      <w:tr w:rsidR="000A27CA" w:rsidRPr="00E45B6A" w:rsidTr="00BE545D">
        <w:trPr>
          <w:trHeight w:val="495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 xml:space="preserve">Povolená teplota při </w:t>
            </w:r>
            <w:r>
              <w:rPr>
                <w:rFonts w:cs="Arial"/>
                <w:sz w:val="20"/>
              </w:rPr>
              <w:t>manipulaci s výrobkem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+2 do +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E45B6A">
                <w:rPr>
                  <w:rFonts w:cs="Arial"/>
                  <w:sz w:val="20"/>
                </w:rPr>
                <w:t>30°C</w:t>
              </w:r>
            </w:smartTag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+2 do +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E45B6A">
                <w:rPr>
                  <w:rFonts w:cs="Arial"/>
                  <w:sz w:val="20"/>
                </w:rPr>
                <w:t>30°C</w:t>
              </w:r>
            </w:smartTag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+2 do +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E45B6A">
                <w:rPr>
                  <w:rFonts w:cs="Arial"/>
                  <w:sz w:val="20"/>
                </w:rPr>
                <w:t>30°C</w:t>
              </w:r>
            </w:smartTag>
          </w:p>
        </w:tc>
      </w:tr>
      <w:tr w:rsidR="000A27CA" w:rsidRPr="00E45B6A" w:rsidTr="00BE545D">
        <w:trPr>
          <w:trHeight w:val="300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Objem zásobníku [m</w:t>
            </w:r>
            <w:r w:rsidRPr="00E45B6A">
              <w:rPr>
                <w:rFonts w:cs="Arial"/>
                <w:sz w:val="20"/>
                <w:vertAlign w:val="superscript"/>
              </w:rPr>
              <w:t>3</w:t>
            </w:r>
            <w:r w:rsidRPr="00E45B6A">
              <w:rPr>
                <w:rFonts w:cs="Arial"/>
                <w:sz w:val="20"/>
              </w:rPr>
              <w:t>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7CA" w:rsidRPr="00E45B6A" w:rsidRDefault="000A27CA" w:rsidP="00BE545D">
            <w:pPr>
              <w:jc w:val="center"/>
              <w:rPr>
                <w:rFonts w:cs="Arial"/>
                <w:sz w:val="20"/>
              </w:rPr>
            </w:pPr>
            <w:r w:rsidRPr="00E45B6A">
              <w:rPr>
                <w:rFonts w:cs="Arial"/>
                <w:sz w:val="20"/>
              </w:rPr>
              <w:t>0,1</w:t>
            </w:r>
          </w:p>
        </w:tc>
      </w:tr>
    </w:tbl>
    <w:p w:rsidR="000A27CA" w:rsidRDefault="000A27CA" w:rsidP="000A27CA">
      <w:pPr>
        <w:tabs>
          <w:tab w:val="left" w:pos="5678"/>
        </w:tabs>
        <w:rPr>
          <w:rFonts w:cs="Arial"/>
        </w:rPr>
      </w:pPr>
      <w:bookmarkStart w:id="8" w:name="_Toc309811214"/>
    </w:p>
    <w:p w:rsidR="000A27CA" w:rsidRDefault="000A27CA" w:rsidP="000A27CA">
      <w:pPr>
        <w:tabs>
          <w:tab w:val="left" w:pos="5678"/>
        </w:tabs>
        <w:rPr>
          <w:rFonts w:cs="Arial"/>
        </w:rPr>
      </w:pPr>
    </w:p>
    <w:p w:rsidR="000A27CA" w:rsidRPr="00E45B6A" w:rsidRDefault="00407FD5" w:rsidP="000A27CA">
      <w:pPr>
        <w:tabs>
          <w:tab w:val="left" w:pos="5678"/>
        </w:tabs>
        <w:jc w:val="center"/>
        <w:rPr>
          <w:rFonts w:eastAsia="SymbolMT"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4pt;height:202.6pt">
            <v:imagedata r:id="rId9" o:title=""/>
          </v:shape>
        </w:pict>
      </w:r>
      <w:bookmarkEnd w:id="8"/>
    </w:p>
    <w:p w:rsidR="000A27CA" w:rsidRDefault="000A27CA" w:rsidP="000A27CA">
      <w:pPr>
        <w:jc w:val="center"/>
        <w:rPr>
          <w:rFonts w:cs="Arial"/>
        </w:rPr>
      </w:pPr>
    </w:p>
    <w:p w:rsidR="000A27CA" w:rsidRPr="00AC722D" w:rsidRDefault="000A27CA" w:rsidP="000A27CA">
      <w:pPr>
        <w:jc w:val="center"/>
        <w:rPr>
          <w:rFonts w:cs="Arial"/>
          <w:i/>
        </w:rPr>
      </w:pPr>
      <w:r w:rsidRPr="00AC722D">
        <w:rPr>
          <w:rFonts w:cs="Arial"/>
          <w:i/>
        </w:rPr>
        <w:t xml:space="preserve">Rozměry jednotlivých </w:t>
      </w:r>
      <w:r>
        <w:rPr>
          <w:rFonts w:cs="Arial"/>
          <w:i/>
        </w:rPr>
        <w:t>prvků</w:t>
      </w:r>
      <w:r w:rsidRPr="00AC722D">
        <w:rPr>
          <w:rFonts w:cs="Arial"/>
          <w:i/>
        </w:rPr>
        <w:t xml:space="preserve"> </w:t>
      </w:r>
      <w:r>
        <w:rPr>
          <w:rFonts w:cs="Arial"/>
          <w:i/>
        </w:rPr>
        <w:t>tunelu</w:t>
      </w:r>
      <w:r w:rsidRPr="00AC722D">
        <w:rPr>
          <w:rFonts w:cs="Arial"/>
          <w:i/>
        </w:rPr>
        <w:t xml:space="preserve"> AS-KRECHT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5510"/>
      </w:tblGrid>
      <w:tr w:rsidR="005B22B1" w:rsidTr="005B22B1">
        <w:tc>
          <w:tcPr>
            <w:tcW w:w="4946" w:type="dxa"/>
          </w:tcPr>
          <w:p w:rsidR="005B22B1" w:rsidRDefault="00407FD5" w:rsidP="000A27CA">
            <w:pPr>
              <w:rPr>
                <w:rFonts w:cs="Arial"/>
              </w:rPr>
            </w:pPr>
            <w:r>
              <w:rPr>
                <w:rFonts w:cs="Arial"/>
              </w:rPr>
              <w:pict>
                <v:shape id="_x0000_i1026" type="#_x0000_t75" style="width:230.25pt;height:113pt">
                  <v:imagedata r:id="rId10" o:title=""/>
                </v:shape>
              </w:pict>
            </w:r>
          </w:p>
        </w:tc>
        <w:tc>
          <w:tcPr>
            <w:tcW w:w="4946" w:type="dxa"/>
          </w:tcPr>
          <w:p w:rsidR="005B22B1" w:rsidRDefault="00407FD5" w:rsidP="005B22B1">
            <w:pPr>
              <w:jc w:val="center"/>
              <w:rPr>
                <w:rFonts w:cs="Arial"/>
              </w:rPr>
            </w:pPr>
            <w:r>
              <w:pict>
                <v:shape id="_x0000_i1027" type="#_x0000_t75" style="width:264.55pt;height:119.7pt" o:allowoverlap="f">
                  <v:imagedata r:id="rId11" o:title="str8_nové"/>
                </v:shape>
              </w:pict>
            </w:r>
          </w:p>
        </w:tc>
      </w:tr>
    </w:tbl>
    <w:p w:rsidR="000A27CA" w:rsidRPr="00E45B6A" w:rsidRDefault="000A27CA" w:rsidP="000A27CA">
      <w:pPr>
        <w:rPr>
          <w:rFonts w:cs="Arial"/>
        </w:rPr>
      </w:pPr>
    </w:p>
    <w:p w:rsidR="000A27CA" w:rsidRPr="00E45B6A" w:rsidRDefault="000A27CA" w:rsidP="000A27CA">
      <w:pPr>
        <w:jc w:val="center"/>
      </w:pPr>
    </w:p>
    <w:p w:rsidR="00351C63" w:rsidRPr="00587B65" w:rsidRDefault="00351C63" w:rsidP="00351C63">
      <w:pPr>
        <w:spacing w:before="120"/>
      </w:pPr>
    </w:p>
    <w:sectPr w:rsidR="00351C63" w:rsidRPr="00587B65" w:rsidSect="004963A4">
      <w:pgSz w:w="11906" w:h="16838" w:code="9"/>
      <w:pgMar w:top="1440" w:right="1077" w:bottom="1440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50" w:rsidRDefault="00A15050">
      <w:r>
        <w:separator/>
      </w:r>
    </w:p>
  </w:endnote>
  <w:endnote w:type="continuationSeparator" w:id="0">
    <w:p w:rsidR="00A15050" w:rsidRDefault="00A1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50" w:rsidRDefault="00A15050">
      <w:r>
        <w:separator/>
      </w:r>
    </w:p>
  </w:footnote>
  <w:footnote w:type="continuationSeparator" w:id="0">
    <w:p w:rsidR="00A15050" w:rsidRDefault="00A1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49C"/>
    <w:multiLevelType w:val="singleLevel"/>
    <w:tmpl w:val="4D80A91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3E3B0C"/>
    <w:multiLevelType w:val="hybridMultilevel"/>
    <w:tmpl w:val="DA1E58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24BA5"/>
    <w:multiLevelType w:val="hybridMultilevel"/>
    <w:tmpl w:val="E42C0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0F6E"/>
    <w:multiLevelType w:val="hybridMultilevel"/>
    <w:tmpl w:val="2B70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52EEA"/>
    <w:multiLevelType w:val="multilevel"/>
    <w:tmpl w:val="DC240A6C"/>
    <w:lvl w:ilvl="0">
      <w:start w:val="1"/>
      <w:numFmt w:val="decimal"/>
      <w:pStyle w:val="Nadpis1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CB1B5E"/>
    <w:multiLevelType w:val="hybridMultilevel"/>
    <w:tmpl w:val="441C5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56D39"/>
    <w:multiLevelType w:val="hybridMultilevel"/>
    <w:tmpl w:val="DF3C8540"/>
    <w:lvl w:ilvl="0" w:tplc="AB90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F3F16"/>
    <w:multiLevelType w:val="hybridMultilevel"/>
    <w:tmpl w:val="DEAE5274"/>
    <w:lvl w:ilvl="0" w:tplc="04A474CE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54C55B02"/>
    <w:multiLevelType w:val="hybridMultilevel"/>
    <w:tmpl w:val="5B5415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412E9"/>
    <w:multiLevelType w:val="multilevel"/>
    <w:tmpl w:val="9392E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6151F6A"/>
    <w:multiLevelType w:val="hybridMultilevel"/>
    <w:tmpl w:val="DEAE5274"/>
    <w:lvl w:ilvl="0" w:tplc="E886211C">
      <w:start w:val="1"/>
      <w:numFmt w:val="bullet"/>
      <w:pStyle w:val="Bezpenostnpokynodraen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9509DE"/>
    <w:multiLevelType w:val="multilevel"/>
    <w:tmpl w:val="7B3ADDC6"/>
    <w:lvl w:ilvl="0">
      <w:start w:val="1"/>
      <w:numFmt w:val="bullet"/>
      <w:pStyle w:val="odraen1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926D5"/>
    <w:multiLevelType w:val="hybridMultilevel"/>
    <w:tmpl w:val="C5E68D68"/>
    <w:lvl w:ilvl="0" w:tplc="FD7E59A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F76F69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142737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1E3F4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13454A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9D23BF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404E87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FD431E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E2A503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3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hyphenationZone w:val="425"/>
  <w:evenAndOddHeaders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2289">
      <v:stroke endarrow="block" endarrowwidth="narrow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2A8"/>
    <w:rsid w:val="00000F04"/>
    <w:rsid w:val="00004FDB"/>
    <w:rsid w:val="00005C87"/>
    <w:rsid w:val="000113AF"/>
    <w:rsid w:val="00013408"/>
    <w:rsid w:val="00022088"/>
    <w:rsid w:val="000261C9"/>
    <w:rsid w:val="00032924"/>
    <w:rsid w:val="0003315B"/>
    <w:rsid w:val="00036775"/>
    <w:rsid w:val="00041448"/>
    <w:rsid w:val="0005361D"/>
    <w:rsid w:val="000638EB"/>
    <w:rsid w:val="00067166"/>
    <w:rsid w:val="0007769F"/>
    <w:rsid w:val="00077E54"/>
    <w:rsid w:val="00094AB7"/>
    <w:rsid w:val="000A27CA"/>
    <w:rsid w:val="000A502D"/>
    <w:rsid w:val="000B4762"/>
    <w:rsid w:val="000C34B8"/>
    <w:rsid w:val="000F0C59"/>
    <w:rsid w:val="000F4D0C"/>
    <w:rsid w:val="001017B9"/>
    <w:rsid w:val="001104EE"/>
    <w:rsid w:val="0011771B"/>
    <w:rsid w:val="00133468"/>
    <w:rsid w:val="00150076"/>
    <w:rsid w:val="001513CC"/>
    <w:rsid w:val="00167A99"/>
    <w:rsid w:val="00172387"/>
    <w:rsid w:val="00193CC6"/>
    <w:rsid w:val="00194F72"/>
    <w:rsid w:val="001A3A72"/>
    <w:rsid w:val="001B0142"/>
    <w:rsid w:val="001B4B1E"/>
    <w:rsid w:val="001C264A"/>
    <w:rsid w:val="001C2ECC"/>
    <w:rsid w:val="001D1745"/>
    <w:rsid w:val="001D2384"/>
    <w:rsid w:val="001D2D55"/>
    <w:rsid w:val="001E5795"/>
    <w:rsid w:val="00200C17"/>
    <w:rsid w:val="00207CF2"/>
    <w:rsid w:val="00211B86"/>
    <w:rsid w:val="00211CF3"/>
    <w:rsid w:val="00214C9A"/>
    <w:rsid w:val="002251C9"/>
    <w:rsid w:val="00251184"/>
    <w:rsid w:val="00262164"/>
    <w:rsid w:val="002705E6"/>
    <w:rsid w:val="00272378"/>
    <w:rsid w:val="00285EB7"/>
    <w:rsid w:val="0028632B"/>
    <w:rsid w:val="002919E0"/>
    <w:rsid w:val="002A2832"/>
    <w:rsid w:val="002B4D22"/>
    <w:rsid w:val="002C35BB"/>
    <w:rsid w:val="003019D8"/>
    <w:rsid w:val="00304C3B"/>
    <w:rsid w:val="0031013D"/>
    <w:rsid w:val="003127AE"/>
    <w:rsid w:val="00322DC0"/>
    <w:rsid w:val="003428DA"/>
    <w:rsid w:val="003517B7"/>
    <w:rsid w:val="00351C63"/>
    <w:rsid w:val="00366850"/>
    <w:rsid w:val="00380827"/>
    <w:rsid w:val="00383162"/>
    <w:rsid w:val="00383F94"/>
    <w:rsid w:val="003A562F"/>
    <w:rsid w:val="003A7980"/>
    <w:rsid w:val="003B56BF"/>
    <w:rsid w:val="003E1EF8"/>
    <w:rsid w:val="00407FD5"/>
    <w:rsid w:val="004219E0"/>
    <w:rsid w:val="004453FD"/>
    <w:rsid w:val="00480383"/>
    <w:rsid w:val="00485D1A"/>
    <w:rsid w:val="004963A4"/>
    <w:rsid w:val="004A7608"/>
    <w:rsid w:val="004B2F0A"/>
    <w:rsid w:val="004C0163"/>
    <w:rsid w:val="004D2268"/>
    <w:rsid w:val="004D2583"/>
    <w:rsid w:val="004D4E43"/>
    <w:rsid w:val="004E087C"/>
    <w:rsid w:val="004E0954"/>
    <w:rsid w:val="004E1288"/>
    <w:rsid w:val="004E3BA4"/>
    <w:rsid w:val="004F3EF5"/>
    <w:rsid w:val="0050405E"/>
    <w:rsid w:val="00533ECC"/>
    <w:rsid w:val="00553B2A"/>
    <w:rsid w:val="00563514"/>
    <w:rsid w:val="00587B65"/>
    <w:rsid w:val="005942F4"/>
    <w:rsid w:val="005A011C"/>
    <w:rsid w:val="005B22B1"/>
    <w:rsid w:val="005E401B"/>
    <w:rsid w:val="005E69CC"/>
    <w:rsid w:val="005F3A61"/>
    <w:rsid w:val="006060A8"/>
    <w:rsid w:val="00623036"/>
    <w:rsid w:val="006512A1"/>
    <w:rsid w:val="0065516F"/>
    <w:rsid w:val="00656C9B"/>
    <w:rsid w:val="00664D0C"/>
    <w:rsid w:val="00673F05"/>
    <w:rsid w:val="00680D5C"/>
    <w:rsid w:val="00686C53"/>
    <w:rsid w:val="006A3586"/>
    <w:rsid w:val="006A3781"/>
    <w:rsid w:val="006C6728"/>
    <w:rsid w:val="006D5032"/>
    <w:rsid w:val="006E7ED4"/>
    <w:rsid w:val="006F2F73"/>
    <w:rsid w:val="00715E60"/>
    <w:rsid w:val="007162A9"/>
    <w:rsid w:val="00722B5A"/>
    <w:rsid w:val="00722E5B"/>
    <w:rsid w:val="007255C7"/>
    <w:rsid w:val="00733A5A"/>
    <w:rsid w:val="00735BE8"/>
    <w:rsid w:val="00745E8F"/>
    <w:rsid w:val="007534D8"/>
    <w:rsid w:val="007562F3"/>
    <w:rsid w:val="00761B7F"/>
    <w:rsid w:val="00763543"/>
    <w:rsid w:val="00772101"/>
    <w:rsid w:val="00774905"/>
    <w:rsid w:val="00776455"/>
    <w:rsid w:val="0078371E"/>
    <w:rsid w:val="00785D15"/>
    <w:rsid w:val="007A7C32"/>
    <w:rsid w:val="007C0E48"/>
    <w:rsid w:val="007D08A8"/>
    <w:rsid w:val="007D6D61"/>
    <w:rsid w:val="00804ED7"/>
    <w:rsid w:val="0081526A"/>
    <w:rsid w:val="00822D8E"/>
    <w:rsid w:val="00830449"/>
    <w:rsid w:val="00840F82"/>
    <w:rsid w:val="00845341"/>
    <w:rsid w:val="00853840"/>
    <w:rsid w:val="0086550B"/>
    <w:rsid w:val="008658BB"/>
    <w:rsid w:val="008A430F"/>
    <w:rsid w:val="008D15B8"/>
    <w:rsid w:val="008D3995"/>
    <w:rsid w:val="008E1B4D"/>
    <w:rsid w:val="008E313B"/>
    <w:rsid w:val="008E72A8"/>
    <w:rsid w:val="0090043D"/>
    <w:rsid w:val="00914370"/>
    <w:rsid w:val="00932013"/>
    <w:rsid w:val="00942186"/>
    <w:rsid w:val="00955AB4"/>
    <w:rsid w:val="009611E9"/>
    <w:rsid w:val="00965192"/>
    <w:rsid w:val="0096539C"/>
    <w:rsid w:val="00974F9B"/>
    <w:rsid w:val="00982B49"/>
    <w:rsid w:val="00992848"/>
    <w:rsid w:val="00994333"/>
    <w:rsid w:val="009A0D9C"/>
    <w:rsid w:val="009B7293"/>
    <w:rsid w:val="009C7604"/>
    <w:rsid w:val="009D30E0"/>
    <w:rsid w:val="009D5E27"/>
    <w:rsid w:val="009E5544"/>
    <w:rsid w:val="00A068C0"/>
    <w:rsid w:val="00A11E56"/>
    <w:rsid w:val="00A13576"/>
    <w:rsid w:val="00A15050"/>
    <w:rsid w:val="00A33B46"/>
    <w:rsid w:val="00A43656"/>
    <w:rsid w:val="00A54A81"/>
    <w:rsid w:val="00A871C5"/>
    <w:rsid w:val="00A91133"/>
    <w:rsid w:val="00AA0513"/>
    <w:rsid w:val="00AB3953"/>
    <w:rsid w:val="00AC7C84"/>
    <w:rsid w:val="00AE75EE"/>
    <w:rsid w:val="00AF5AD0"/>
    <w:rsid w:val="00B07B05"/>
    <w:rsid w:val="00B156CF"/>
    <w:rsid w:val="00B21AD7"/>
    <w:rsid w:val="00B232BA"/>
    <w:rsid w:val="00B26EE5"/>
    <w:rsid w:val="00B30B63"/>
    <w:rsid w:val="00B31592"/>
    <w:rsid w:val="00B34165"/>
    <w:rsid w:val="00B448C5"/>
    <w:rsid w:val="00B45492"/>
    <w:rsid w:val="00B55528"/>
    <w:rsid w:val="00B56393"/>
    <w:rsid w:val="00B718AA"/>
    <w:rsid w:val="00B76ADD"/>
    <w:rsid w:val="00B80A89"/>
    <w:rsid w:val="00B91C61"/>
    <w:rsid w:val="00B954AC"/>
    <w:rsid w:val="00BA481A"/>
    <w:rsid w:val="00BB10B4"/>
    <w:rsid w:val="00BB3963"/>
    <w:rsid w:val="00BC56B6"/>
    <w:rsid w:val="00BD1174"/>
    <w:rsid w:val="00BD33DE"/>
    <w:rsid w:val="00BE08B1"/>
    <w:rsid w:val="00BE4ED5"/>
    <w:rsid w:val="00BF13E0"/>
    <w:rsid w:val="00BF1A96"/>
    <w:rsid w:val="00C0577F"/>
    <w:rsid w:val="00C1638F"/>
    <w:rsid w:val="00C40A2E"/>
    <w:rsid w:val="00C47961"/>
    <w:rsid w:val="00C7279A"/>
    <w:rsid w:val="00C9653C"/>
    <w:rsid w:val="00CB32F4"/>
    <w:rsid w:val="00CB3A4C"/>
    <w:rsid w:val="00CC2F66"/>
    <w:rsid w:val="00CE0874"/>
    <w:rsid w:val="00D22D30"/>
    <w:rsid w:val="00D356D6"/>
    <w:rsid w:val="00D36D68"/>
    <w:rsid w:val="00D60BD7"/>
    <w:rsid w:val="00D729E6"/>
    <w:rsid w:val="00D74527"/>
    <w:rsid w:val="00DA04D0"/>
    <w:rsid w:val="00DA7690"/>
    <w:rsid w:val="00DC4D5D"/>
    <w:rsid w:val="00DD2960"/>
    <w:rsid w:val="00DF6F52"/>
    <w:rsid w:val="00E01955"/>
    <w:rsid w:val="00E236BB"/>
    <w:rsid w:val="00E37A24"/>
    <w:rsid w:val="00E44085"/>
    <w:rsid w:val="00E449FF"/>
    <w:rsid w:val="00E90A6C"/>
    <w:rsid w:val="00E96D00"/>
    <w:rsid w:val="00EB076F"/>
    <w:rsid w:val="00EC5CD1"/>
    <w:rsid w:val="00ED2937"/>
    <w:rsid w:val="00ED34EF"/>
    <w:rsid w:val="00EE03DF"/>
    <w:rsid w:val="00EE04C9"/>
    <w:rsid w:val="00EF409B"/>
    <w:rsid w:val="00F12628"/>
    <w:rsid w:val="00F4443D"/>
    <w:rsid w:val="00F56072"/>
    <w:rsid w:val="00F564EC"/>
    <w:rsid w:val="00F632D2"/>
    <w:rsid w:val="00F72B10"/>
    <w:rsid w:val="00F86FBB"/>
    <w:rsid w:val="00F92B82"/>
    <w:rsid w:val="00FA0EF8"/>
    <w:rsid w:val="00FA47DA"/>
    <w:rsid w:val="00FF7957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>
      <v:stroke endarrow="block" endarrowwidth="narrow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142"/>
    <w:pPr>
      <w:keepNext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autoRedefine/>
    <w:qFormat/>
    <w:rsid w:val="00974F9B"/>
    <w:pPr>
      <w:keepNext w:val="0"/>
      <w:keepLines/>
      <w:numPr>
        <w:numId w:val="3"/>
      </w:numPr>
      <w:spacing w:before="240" w:after="120"/>
      <w:outlineLvl w:val="0"/>
    </w:pPr>
    <w:rPr>
      <w:b/>
      <w:caps/>
      <w:kern w:val="28"/>
      <w:sz w:val="28"/>
      <w:szCs w:val="24"/>
    </w:rPr>
  </w:style>
  <w:style w:type="paragraph" w:styleId="Nadpis2">
    <w:name w:val="heading 2"/>
    <w:basedOn w:val="Normln"/>
    <w:next w:val="Normln"/>
    <w:autoRedefine/>
    <w:qFormat/>
    <w:rsid w:val="0050405E"/>
    <w:pPr>
      <w:keepNext w:val="0"/>
      <w:spacing w:before="12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BE08B1"/>
    <w:pPr>
      <w:keepNext w:val="0"/>
      <w:keepLines/>
      <w:numPr>
        <w:ilvl w:val="2"/>
        <w:numId w:val="3"/>
      </w:numPr>
      <w:spacing w:after="60"/>
      <w:outlineLvl w:val="2"/>
    </w:pPr>
    <w:rPr>
      <w:rFonts w:cs="Arial"/>
      <w:i/>
      <w:sz w:val="24"/>
      <w:szCs w:val="24"/>
    </w:rPr>
  </w:style>
  <w:style w:type="paragraph" w:styleId="Nadpis4">
    <w:name w:val="heading 4"/>
    <w:basedOn w:val="Normln"/>
    <w:next w:val="Normln"/>
    <w:qFormat/>
    <w:rsid w:val="00272378"/>
    <w:pPr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272378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27237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72378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adpis9"/>
    <w:next w:val="Normln"/>
    <w:qFormat/>
    <w:rsid w:val="00272378"/>
    <w:pPr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272378"/>
    <w:p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72378"/>
    <w:pPr>
      <w:spacing w:before="240" w:after="60"/>
      <w:jc w:val="center"/>
      <w:outlineLvl w:val="0"/>
    </w:pPr>
    <w:rPr>
      <w:b/>
      <w:caps/>
      <w:shadow/>
      <w:kern w:val="28"/>
      <w:sz w:val="32"/>
    </w:rPr>
  </w:style>
  <w:style w:type="paragraph" w:customStyle="1" w:styleId="Nzev2">
    <w:name w:val="Název 2"/>
    <w:basedOn w:val="Nzev"/>
    <w:next w:val="Normln"/>
    <w:autoRedefine/>
    <w:rsid w:val="00D22D30"/>
    <w:pPr>
      <w:keepNext w:val="0"/>
      <w:tabs>
        <w:tab w:val="left" w:pos="709"/>
        <w:tab w:val="left" w:leader="dot" w:pos="9072"/>
      </w:tabs>
    </w:pPr>
    <w:rPr>
      <w:shadow w:val="0"/>
      <w:sz w:val="20"/>
    </w:rPr>
  </w:style>
  <w:style w:type="character" w:styleId="slostrnky">
    <w:name w:val="page number"/>
    <w:basedOn w:val="Standardnpsmoodstavce"/>
    <w:rsid w:val="00272378"/>
    <w:rPr>
      <w:rFonts w:ascii="Arial" w:hAnsi="Arial"/>
      <w:color w:val="auto"/>
      <w:sz w:val="20"/>
      <w:u w:val="none"/>
      <w:effect w:val="none"/>
    </w:rPr>
  </w:style>
  <w:style w:type="paragraph" w:styleId="Hlavikaobsahu">
    <w:name w:val="toa heading"/>
    <w:basedOn w:val="Normln"/>
    <w:next w:val="Normln"/>
    <w:semiHidden/>
    <w:rsid w:val="00272378"/>
    <w:pPr>
      <w:spacing w:before="120"/>
    </w:pPr>
    <w:rPr>
      <w:b/>
      <w:sz w:val="24"/>
    </w:rPr>
  </w:style>
  <w:style w:type="paragraph" w:styleId="Titulek">
    <w:name w:val="caption"/>
    <w:basedOn w:val="Normln"/>
    <w:next w:val="Normln"/>
    <w:qFormat/>
    <w:rsid w:val="00272378"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rsid w:val="0027237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72378"/>
    <w:pPr>
      <w:ind w:left="5103" w:hanging="1563"/>
    </w:pPr>
  </w:style>
  <w:style w:type="paragraph" w:styleId="Obsah1">
    <w:name w:val="toc 1"/>
    <w:basedOn w:val="Normln"/>
    <w:next w:val="Normln"/>
    <w:autoRedefine/>
    <w:uiPriority w:val="39"/>
    <w:rsid w:val="001D2D55"/>
    <w:pPr>
      <w:tabs>
        <w:tab w:val="left" w:pos="600"/>
        <w:tab w:val="right" w:leader="dot" w:pos="9344"/>
      </w:tabs>
      <w:spacing w:before="120" w:after="120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rsid w:val="00272378"/>
    <w:pPr>
      <w:tabs>
        <w:tab w:val="left" w:pos="800"/>
        <w:tab w:val="right" w:leader="dot" w:pos="9346"/>
      </w:tabs>
    </w:pPr>
    <w:rPr>
      <w:noProof/>
      <w:szCs w:val="24"/>
    </w:rPr>
  </w:style>
  <w:style w:type="paragraph" w:styleId="Obsah3">
    <w:name w:val="toc 3"/>
    <w:basedOn w:val="Normln"/>
    <w:next w:val="Normln"/>
    <w:autoRedefine/>
    <w:uiPriority w:val="39"/>
    <w:rsid w:val="00272378"/>
    <w:pPr>
      <w:tabs>
        <w:tab w:val="left" w:pos="851"/>
        <w:tab w:val="right" w:leader="dot" w:pos="9346"/>
      </w:tabs>
    </w:pPr>
    <w:rPr>
      <w:noProof/>
      <w:szCs w:val="24"/>
    </w:rPr>
  </w:style>
  <w:style w:type="paragraph" w:styleId="Obsah4">
    <w:name w:val="toc 4"/>
    <w:basedOn w:val="Normln"/>
    <w:next w:val="Normln"/>
    <w:autoRedefine/>
    <w:semiHidden/>
    <w:rsid w:val="00272378"/>
    <w:pPr>
      <w:ind w:left="600"/>
    </w:pPr>
  </w:style>
  <w:style w:type="paragraph" w:styleId="Obsah5">
    <w:name w:val="toc 5"/>
    <w:basedOn w:val="Normln"/>
    <w:next w:val="Normln"/>
    <w:autoRedefine/>
    <w:semiHidden/>
    <w:rsid w:val="00272378"/>
    <w:pPr>
      <w:ind w:left="800"/>
    </w:pPr>
  </w:style>
  <w:style w:type="paragraph" w:styleId="Obsah6">
    <w:name w:val="toc 6"/>
    <w:basedOn w:val="Normln"/>
    <w:next w:val="Normln"/>
    <w:autoRedefine/>
    <w:semiHidden/>
    <w:rsid w:val="00272378"/>
    <w:pPr>
      <w:ind w:left="1000"/>
    </w:pPr>
  </w:style>
  <w:style w:type="paragraph" w:styleId="Obsah7">
    <w:name w:val="toc 7"/>
    <w:basedOn w:val="Normln"/>
    <w:next w:val="Normln"/>
    <w:autoRedefine/>
    <w:semiHidden/>
    <w:rsid w:val="00272378"/>
    <w:pPr>
      <w:ind w:left="1200"/>
    </w:pPr>
  </w:style>
  <w:style w:type="paragraph" w:styleId="Obsah8">
    <w:name w:val="toc 8"/>
    <w:basedOn w:val="Normln"/>
    <w:next w:val="Normln"/>
    <w:autoRedefine/>
    <w:semiHidden/>
    <w:rsid w:val="00272378"/>
    <w:pPr>
      <w:ind w:left="1400"/>
    </w:pPr>
  </w:style>
  <w:style w:type="paragraph" w:styleId="Obsah9">
    <w:name w:val="toc 9"/>
    <w:basedOn w:val="Normln"/>
    <w:next w:val="Normln"/>
    <w:autoRedefine/>
    <w:semiHidden/>
    <w:rsid w:val="00272378"/>
    <w:pPr>
      <w:ind w:left="1600"/>
    </w:pPr>
  </w:style>
  <w:style w:type="paragraph" w:styleId="Zkladntext2">
    <w:name w:val="Body Text 2"/>
    <w:basedOn w:val="Normln"/>
    <w:rsid w:val="00272378"/>
    <w:rPr>
      <w:color w:val="FF0000"/>
    </w:rPr>
  </w:style>
  <w:style w:type="paragraph" w:customStyle="1" w:styleId="Vstrahy">
    <w:name w:val="Výstrahy"/>
    <w:autoRedefine/>
    <w:rsid w:val="00DC4D5D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Aktuln">
    <w:name w:val="Aktuální"/>
    <w:rsid w:val="00272378"/>
    <w:pPr>
      <w:keepNext/>
      <w:keepLines/>
      <w:jc w:val="right"/>
    </w:pPr>
    <w:rPr>
      <w:rFonts w:ascii="Arial" w:hAnsi="Arial"/>
    </w:rPr>
  </w:style>
  <w:style w:type="paragraph" w:styleId="Rozloendokumentu">
    <w:name w:val="Document Map"/>
    <w:basedOn w:val="Normln"/>
    <w:semiHidden/>
    <w:rsid w:val="00272378"/>
    <w:pPr>
      <w:shd w:val="clear" w:color="auto" w:fill="000080"/>
    </w:pPr>
    <w:rPr>
      <w:rFonts w:ascii="Tahoma" w:hAnsi="Tahoma"/>
    </w:rPr>
  </w:style>
  <w:style w:type="paragraph" w:customStyle="1" w:styleId="odraen12">
    <w:name w:val="odražený 12"/>
    <w:basedOn w:val="Normln"/>
    <w:rsid w:val="00AB3953"/>
    <w:pPr>
      <w:numPr>
        <w:numId w:val="5"/>
      </w:numPr>
      <w:spacing w:before="60"/>
    </w:pPr>
  </w:style>
  <w:style w:type="paragraph" w:styleId="Zkladntext">
    <w:name w:val="Body Text"/>
    <w:basedOn w:val="Normln"/>
    <w:rsid w:val="00272378"/>
    <w:pPr>
      <w:outlineLvl w:val="0"/>
    </w:pPr>
    <w:rPr>
      <w:b/>
      <w:bCs/>
    </w:rPr>
  </w:style>
  <w:style w:type="paragraph" w:styleId="Zkladntextodsazen2">
    <w:name w:val="Body Text Indent 2"/>
    <w:basedOn w:val="Normln"/>
    <w:rsid w:val="00272378"/>
    <w:pPr>
      <w:ind w:left="142" w:hanging="142"/>
    </w:pPr>
  </w:style>
  <w:style w:type="paragraph" w:styleId="Zkladntext3">
    <w:name w:val="Body Text 3"/>
    <w:basedOn w:val="Normln"/>
    <w:rsid w:val="00272378"/>
    <w:rPr>
      <w:color w:val="3366FF"/>
    </w:rPr>
  </w:style>
  <w:style w:type="paragraph" w:styleId="Zkladntextodsazen3">
    <w:name w:val="Body Text Indent 3"/>
    <w:basedOn w:val="Normln"/>
    <w:rsid w:val="00272378"/>
    <w:pPr>
      <w:ind w:left="1843" w:hanging="1843"/>
    </w:pPr>
  </w:style>
  <w:style w:type="paragraph" w:customStyle="1" w:styleId="Bezpenostnpokynodraen">
    <w:name w:val="Bezpečnostní pokyn odražený"/>
    <w:basedOn w:val="Normln"/>
    <w:rsid w:val="00272378"/>
    <w:pPr>
      <w:numPr>
        <w:numId w:val="6"/>
      </w:numPr>
    </w:pPr>
  </w:style>
  <w:style w:type="paragraph" w:styleId="Textbubliny">
    <w:name w:val="Balloon Text"/>
    <w:basedOn w:val="Normln"/>
    <w:semiHidden/>
    <w:rsid w:val="002723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73F05"/>
    <w:rPr>
      <w:color w:val="0000FF"/>
      <w:u w:val="single"/>
    </w:rPr>
  </w:style>
  <w:style w:type="paragraph" w:styleId="Zhlav">
    <w:name w:val="header"/>
    <w:basedOn w:val="Normln"/>
    <w:link w:val="ZhlavChar"/>
    <w:rsid w:val="009D5E27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013408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1B0142"/>
    <w:rPr>
      <w:rFonts w:ascii="Calibri" w:hAnsi="Calibr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1B0142"/>
    <w:rPr>
      <w:rFonts w:ascii="Calibri" w:hAnsi="Calibri"/>
      <w:sz w:val="22"/>
      <w:szCs w:val="22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1B014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B0142"/>
    <w:rPr>
      <w:rFonts w:ascii="Arial" w:hAnsi="Arial"/>
      <w:sz w:val="22"/>
    </w:rPr>
  </w:style>
  <w:style w:type="table" w:styleId="Mkatabulky">
    <w:name w:val="Table Grid"/>
    <w:basedOn w:val="Normlntabulka"/>
    <w:rsid w:val="005B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0E1E-4F7A-4E4D-9AE0-ED1EC7B0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ASIO, spol s r.o.</dc:creator>
  <cp:lastModifiedBy>Michal Ploteny</cp:lastModifiedBy>
  <cp:revision>8</cp:revision>
  <cp:lastPrinted>2013-04-02T12:21:00Z</cp:lastPrinted>
  <dcterms:created xsi:type="dcterms:W3CDTF">2014-06-02T12:30:00Z</dcterms:created>
  <dcterms:modified xsi:type="dcterms:W3CDTF">2014-11-01T07:28:00Z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41064809</vt:i4>
  </property>
  <property fmtid="{D5CDD505-2E9C-101B-9397-08002B2CF9AE}" pid="3" name="_EmailSubject">
    <vt:lpwstr>PIP_SOK.doc</vt:lpwstr>
  </property>
  <property fmtid="{D5CDD505-2E9C-101B-9397-08002B2CF9AE}" pid="4" name="_AuthorEmail">
    <vt:lpwstr>uher@asio.cz</vt:lpwstr>
  </property>
  <property fmtid="{D5CDD505-2E9C-101B-9397-08002B2CF9AE}" pid="5" name="_AuthorEmailDisplayName">
    <vt:lpwstr>Milan Uher, ASIO, spol. s r.o.</vt:lpwstr>
  </property>
  <property fmtid="{D5CDD505-2E9C-101B-9397-08002B2CF9AE}" pid="6" name="_ReviewingToolsShownOnce">
    <vt:lpwstr/>
  </property>
</Properties>
</file>